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before="240" w:after="60" w:line="240" w:lineRule="auto"/>
        <w:tabs>
          <w:tab w:val="left" w:pos="7797" w:leader="none"/>
        </w:tabs>
        <w:rPr>
          <w:rFonts w:ascii="Times New Roman" w:hAnsi="Times New Roman" w:eastAsia="Times New Roman" w:cs="Times New Roman"/>
          <w:b/>
          <w:bCs/>
          <w:color w:val="ff0000"/>
          <w:lang w:eastAsia="ru-RU"/>
        </w:rPr>
        <w:outlineLvl w:val="5"/>
      </w:pPr>
      <w:r>
        <w:rPr>
          <w:rFonts w:ascii="Times New Roman" w:hAnsi="Times New Roman" w:eastAsia="Times New Roman" w:cs="Times New Roman"/>
          <w:b/>
          <w:bCs/>
          <w:color w:val="ff0000"/>
          <w:lang w:eastAsia="ru-RU"/>
        </w:rPr>
        <w:t xml:space="preserve">ПРОЕКТ НПА</w:t>
      </w:r>
      <w:r>
        <w:rPr>
          <w:rFonts w:ascii="Times New Roman" w:hAnsi="Times New Roman" w:eastAsia="Times New Roman" w:cs="Times New Roman"/>
          <w:b/>
          <w:bCs/>
          <w:color w:val="ff0000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ff0000"/>
          <w:lang w:eastAsia="ru-RU"/>
        </w:rPr>
      </w:r>
    </w:p>
    <w:p>
      <w:pPr>
        <w:jc w:val="right"/>
        <w:spacing w:before="240" w:after="60" w:line="240" w:lineRule="auto"/>
        <w:tabs>
          <w:tab w:val="left" w:pos="7797" w:leader="none"/>
        </w:tabs>
        <w:rPr>
          <w:rFonts w:ascii="Times New Roman" w:hAnsi="Times New Roman" w:eastAsia="Times New Roman" w:cs="Times New Roman"/>
          <w:b/>
          <w:bCs/>
          <w:lang w:eastAsia="ru-RU"/>
        </w:rPr>
        <w:outlineLvl w:val="5"/>
      </w:pPr>
      <w:r>
        <w:rPr>
          <w:rFonts w:ascii="Times New Roman" w:hAnsi="Times New Roman" w:eastAsia="Times New Roman" w:cs="Times New Roman"/>
          <w:b/>
          <w:bCs/>
          <w:lang w:eastAsia="ru-RU"/>
        </w:rPr>
      </w:r>
      <w:r>
        <w:rPr>
          <w:rFonts w:ascii="Times New Roman" w:hAnsi="Times New Roman" w:eastAsia="Times New Roman" w:cs="Times New Roman"/>
          <w:b/>
          <w:bCs/>
          <w:lang w:eastAsia="ru-RU"/>
        </w:rPr>
      </w:r>
      <w:r>
        <w:rPr>
          <w:rFonts w:ascii="Times New Roman" w:hAnsi="Times New Roman" w:eastAsia="Times New Roman" w:cs="Times New Roman"/>
          <w:b/>
          <w:bCs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  <w:t xml:space="preserve">О внесении изменений в постановление администрации</w:t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  <w:t xml:space="preserve">Нефтеюганского района от </w:t>
      </w:r>
      <w:r>
        <w:rPr>
          <w:rFonts w:ascii="Times New Roman" w:hAnsi="Times New Roman" w:eastAsia="Calibri" w:cs="Times New Roman"/>
          <w:sz w:val="27"/>
          <w:szCs w:val="27"/>
        </w:rPr>
        <w:t xml:space="preserve">31.07.2020</w:t>
      </w:r>
      <w:r>
        <w:rPr>
          <w:rFonts w:ascii="Times New Roman" w:hAnsi="Times New Roman" w:eastAsia="Calibri" w:cs="Times New Roman"/>
          <w:sz w:val="27"/>
          <w:szCs w:val="27"/>
        </w:rPr>
        <w:t xml:space="preserve"> № 1101-па-нпа</w:t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  <w:t xml:space="preserve">«Об утверждении положения о муниципальной </w:t>
      </w:r>
      <w:r>
        <w:rPr>
          <w:rFonts w:ascii="Times New Roman" w:hAnsi="Times New Roman" w:eastAsia="Calibri" w:cs="Times New Roman"/>
          <w:sz w:val="27"/>
          <w:szCs w:val="27"/>
        </w:rPr>
        <w:br/>
        <w:t xml:space="preserve">комиссии по делам несовершеннолетних и защите их прав </w:t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  <w:t xml:space="preserve">Нефтеюганского района»</w:t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spacing w:after="0" w:line="240" w:lineRule="auto"/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  <w:tab/>
        <w:t xml:space="preserve">В соответствии с Федеральным </w:t>
      </w:r>
      <w:r>
        <w:rPr>
          <w:rFonts w:ascii="Times New Roman" w:hAnsi="Times New Roman" w:eastAsia="Calibri" w:cs="Times New Roman"/>
          <w:sz w:val="27"/>
          <w:szCs w:val="27"/>
        </w:rPr>
        <w:t xml:space="preserve">законом от 24.06.1999 № 120-ФЗ «Об основах системы профилактики безнадзорности и правонарушений несовершеннолетних», постановлением Правительства Российской Федерации от 06.11.2013 № 995 «Об утверждении Примерного положения о комиссиях по делам несовершенн</w:t>
      </w:r>
      <w:r>
        <w:rPr>
          <w:rFonts w:ascii="Times New Roman" w:hAnsi="Times New Roman" w:eastAsia="Calibri" w:cs="Times New Roman"/>
          <w:sz w:val="27"/>
          <w:szCs w:val="27"/>
        </w:rPr>
        <w:t xml:space="preserve">олетних и защите их прав», Законом Ханты-Мансийского автономного округа – Югры от 12.10.2005 № 74-оз «О комиссиях по делам по делам несовершеннолетних и защите их прав в Ханты-Мансийском автономном округе – Югре и наделении органов местного самоуправления </w:t>
      </w:r>
      <w:r>
        <w:rPr>
          <w:rFonts w:ascii="Times New Roman" w:hAnsi="Times New Roman" w:eastAsia="Calibri" w:cs="Times New Roman"/>
          <w:sz w:val="27"/>
          <w:szCs w:val="27"/>
        </w:rPr>
        <w:t xml:space="preserve">отдельными государственными полномочиями по созданию и осуществлению деятельности комиссий по делам несовершеннолетних и защите их прав», во исполнение пункта 1.4 протокола встречи Губернатора Ханты-Мансийского автономного округа – Югры с ветеранами боевых</w:t>
      </w:r>
      <w:r>
        <w:rPr>
          <w:rFonts w:ascii="Times New Roman" w:hAnsi="Times New Roman" w:eastAsia="Calibri" w:cs="Times New Roman"/>
          <w:sz w:val="27"/>
          <w:szCs w:val="27"/>
        </w:rPr>
        <w:t xml:space="preserve"> действий, патриотическими организац</w:t>
      </w:r>
      <w:r>
        <w:rPr>
          <w:rFonts w:ascii="Times New Roman" w:hAnsi="Times New Roman" w:eastAsia="Calibri" w:cs="Times New Roman"/>
          <w:sz w:val="27"/>
          <w:szCs w:val="27"/>
        </w:rPr>
        <w:t xml:space="preserve">иями Ханты-Мансийского автономного округа – Югры, приуроченной ко Дню защитника Отечества, с участием Уполномоченного по правам человека в Ханты-Мансийском автономном округе – Югре от 20.02.2026, администрация Нефтеюганского района </w:t>
      </w:r>
      <w:r>
        <w:rPr>
          <w:rFonts w:ascii="Times New Roman" w:hAnsi="Times New Roman" w:eastAsia="Calibri" w:cs="Times New Roman"/>
          <w:b/>
          <w:bCs/>
          <w:sz w:val="27"/>
          <w:szCs w:val="27"/>
        </w:rPr>
        <w:t xml:space="preserve">п о с т а н о в л я е т</w:t>
      </w:r>
      <w:r>
        <w:rPr>
          <w:rFonts w:ascii="Times New Roman" w:hAnsi="Times New Roman" w:eastAsia="Calibri" w:cs="Times New Roman"/>
          <w:sz w:val="27"/>
          <w:szCs w:val="27"/>
        </w:rPr>
        <w:t xml:space="preserve">:</w:t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  <w:tab/>
        <w:t xml:space="preserve">1. Внести изменение в приложение № 2 к постановлению администрации Нефтеюганского района</w:t>
      </w:r>
      <w:r>
        <w:rPr>
          <w:rFonts w:ascii="Times New Roman" w:hAnsi="Times New Roman" w:eastAsia="Calibri" w:cs="Times New Roman"/>
          <w:sz w:val="27"/>
          <w:szCs w:val="27"/>
        </w:rPr>
        <w:t xml:space="preserve"> от 31.07.2020 № 1101-па-нпа «Об утверждении положения о муниципальной комиссии по делам несовершеннолетних и защите их прав Нефтеюганского района» включив в состав муниципальной комиссии по делам несовершеннолетних и защите их прав Нефтеюганского района, </w:t>
      </w:r>
      <w:r>
        <w:rPr>
          <w:rFonts w:ascii="Times New Roman" w:hAnsi="Times New Roman" w:eastAsia="Calibri" w:cs="Times New Roman"/>
          <w:sz w:val="27"/>
          <w:szCs w:val="27"/>
        </w:rPr>
        <w:tab/>
        <w:t xml:space="preserve">члена муниципальной комиссии:</w:t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  <w:tab/>
      </w:r>
      <w:r>
        <w:rPr>
          <w:rFonts w:ascii="Times New Roman" w:hAnsi="Times New Roman" w:eastAsia="Calibri" w:cs="Times New Roman"/>
          <w:sz w:val="27"/>
          <w:szCs w:val="27"/>
        </w:rPr>
        <w:t xml:space="preserve">Размыслову</w:t>
      </w:r>
      <w:r>
        <w:rPr>
          <w:rFonts w:ascii="Times New Roman" w:hAnsi="Times New Roman" w:eastAsia="Calibri" w:cs="Times New Roman"/>
          <w:sz w:val="27"/>
          <w:szCs w:val="27"/>
        </w:rPr>
        <w:t xml:space="preserve"> Светлану Ильиничну - члена Регионального отделения «Ассоциация ветеранов специальной военной операции» Ханты-Мансийского автономного округа – Югры (по согласованию).</w:t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  <w:tab/>
        <w:t xml:space="preserve">2. 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  <w:tab/>
        <w:t xml:space="preserve">3. Настоящее постановление вступает в силу после официального опубликования.</w:t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  <w:tab/>
        <w:t xml:space="preserve">4. Контроль за выполнением постановления возложить на заместителя главы</w:t>
      </w:r>
      <w:r>
        <w:rPr>
          <w:rFonts w:ascii="Times New Roman" w:hAnsi="Times New Roman" w:eastAsia="Calibri" w:cs="Times New Roman"/>
          <w:sz w:val="27"/>
          <w:szCs w:val="27"/>
        </w:rPr>
        <w:t xml:space="preserve"> </w:t>
      </w:r>
      <w:r>
        <w:rPr>
          <w:rFonts w:ascii="Times New Roman" w:hAnsi="Times New Roman" w:eastAsia="Calibri" w:cs="Times New Roman"/>
          <w:sz w:val="27"/>
          <w:szCs w:val="27"/>
        </w:rPr>
        <w:t xml:space="preserve">Нефтеюганского района Михалева В.Г.</w:t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  <w:t xml:space="preserve">Глава района </w:t>
      </w:r>
      <w:r>
        <w:rPr>
          <w:rFonts w:ascii="Times New Roman" w:hAnsi="Times New Roman" w:eastAsia="Calibri" w:cs="Times New Roman"/>
          <w:sz w:val="27"/>
          <w:szCs w:val="27"/>
        </w:rPr>
        <w:tab/>
      </w:r>
      <w:r>
        <w:rPr>
          <w:rFonts w:ascii="Times New Roman" w:hAnsi="Times New Roman" w:eastAsia="Calibri" w:cs="Times New Roman"/>
          <w:sz w:val="27"/>
          <w:szCs w:val="27"/>
        </w:rPr>
        <w:tab/>
      </w:r>
      <w:r>
        <w:rPr>
          <w:rFonts w:ascii="Times New Roman" w:hAnsi="Times New Roman" w:eastAsia="Calibri" w:cs="Times New Roman"/>
          <w:sz w:val="27"/>
          <w:szCs w:val="27"/>
        </w:rPr>
        <w:t xml:space="preserve">               </w:t>
      </w:r>
      <w:r>
        <w:rPr>
          <w:rFonts w:ascii="Times New Roman" w:hAnsi="Times New Roman" w:eastAsia="Calibri" w:cs="Times New Roman"/>
          <w:sz w:val="27"/>
          <w:szCs w:val="27"/>
        </w:rPr>
        <w:tab/>
      </w:r>
      <w:r>
        <w:rPr>
          <w:rFonts w:ascii="Times New Roman" w:hAnsi="Times New Roman" w:eastAsia="Calibri" w:cs="Times New Roman"/>
          <w:sz w:val="27"/>
          <w:szCs w:val="27"/>
        </w:rPr>
        <w:tab/>
      </w:r>
      <w:r>
        <w:rPr>
          <w:rFonts w:ascii="Times New Roman" w:hAnsi="Times New Roman" w:eastAsia="Calibri" w:cs="Times New Roman"/>
          <w:sz w:val="27"/>
          <w:szCs w:val="27"/>
        </w:rPr>
        <w:t xml:space="preserve">А.А. Бочко</w:t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49" w:hanging="1140"/>
      </w:pPr>
    </w:lvl>
    <w:lvl w:ilvl="1">
      <w:start w:val="1"/>
      <w:numFmt w:val="decimal"/>
      <w:isLgl/>
      <w:suff w:val="tab"/>
      <w:lvlText w:val="%1.%2."/>
      <w:lvlJc w:val="left"/>
      <w:pPr>
        <w:ind w:left="1768" w:hanging="1200"/>
      </w:pPr>
    </w:lvl>
    <w:lvl w:ilvl="2">
      <w:start w:val="1"/>
      <w:numFmt w:val="decimal"/>
      <w:isLgl/>
      <w:suff w:val="tab"/>
      <w:lvlText w:val="%1.%2.%3."/>
      <w:lvlJc w:val="left"/>
      <w:pPr>
        <w:ind w:left="2193" w:hanging="1200"/>
      </w:pPr>
    </w:lvl>
    <w:lvl w:ilvl="3">
      <w:start w:val="1"/>
      <w:numFmt w:val="decimal"/>
      <w:isLgl/>
      <w:suff w:val="tab"/>
      <w:lvlText w:val="%1.%2.%3.%4."/>
      <w:lvlJc w:val="left"/>
      <w:pPr>
        <w:ind w:left="1909" w:hanging="1200"/>
      </w:pPr>
    </w:lvl>
    <w:lvl w:ilvl="4">
      <w:start w:val="1"/>
      <w:numFmt w:val="decimal"/>
      <w:isLgl/>
      <w:suff w:val="tab"/>
      <w:lvlText w:val="%1.%2.%3.%4.%5."/>
      <w:lvlJc w:val="left"/>
      <w:pPr>
        <w:ind w:left="1909" w:hanging="1200"/>
      </w:p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/>
      <w:suff w:val="tab"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2509" w:hanging="180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7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49" w:hanging="1140"/>
      </w:pPr>
    </w:lvl>
    <w:lvl w:ilvl="1">
      <w:start w:val="1"/>
      <w:numFmt w:val="decimal"/>
      <w:isLgl/>
      <w:suff w:val="tab"/>
      <w:lvlText w:val="%1.%2."/>
      <w:lvlJc w:val="left"/>
      <w:pPr>
        <w:ind w:left="1768" w:hanging="1200"/>
      </w:pPr>
    </w:lvl>
    <w:lvl w:ilvl="2">
      <w:start w:val="1"/>
      <w:numFmt w:val="decimal"/>
      <w:isLgl/>
      <w:suff w:val="tab"/>
      <w:lvlText w:val="%1.%2.%3."/>
      <w:lvlJc w:val="left"/>
      <w:pPr>
        <w:ind w:left="1909" w:hanging="1200"/>
      </w:pPr>
    </w:lvl>
    <w:lvl w:ilvl="3">
      <w:start w:val="1"/>
      <w:numFmt w:val="decimal"/>
      <w:isLgl/>
      <w:suff w:val="tab"/>
      <w:lvlText w:val="%1.%2.%3.%4."/>
      <w:lvlJc w:val="left"/>
      <w:pPr>
        <w:ind w:left="1909" w:hanging="1200"/>
      </w:pPr>
    </w:lvl>
    <w:lvl w:ilvl="4">
      <w:start w:val="1"/>
      <w:numFmt w:val="decimal"/>
      <w:isLgl/>
      <w:suff w:val="tab"/>
      <w:lvlText w:val="%1.%2.%3.%4.%5."/>
      <w:lvlJc w:val="left"/>
      <w:pPr>
        <w:ind w:left="1909" w:hanging="1200"/>
      </w:p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/>
      <w:suff w:val="tab"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2509" w:hanging="18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1">
    <w:name w:val="Heading 1"/>
    <w:basedOn w:val="838"/>
    <w:next w:val="838"/>
    <w:link w:val="662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2">
    <w:name w:val="Heading 1 Char"/>
    <w:basedOn w:val="839"/>
    <w:link w:val="661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3">
    <w:name w:val="Heading 2"/>
    <w:basedOn w:val="838"/>
    <w:next w:val="838"/>
    <w:link w:val="664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4">
    <w:name w:val="Heading 2 Char"/>
    <w:basedOn w:val="839"/>
    <w:link w:val="663"/>
    <w:uiPriority w:val="9"/>
    <w:rPr>
      <w:rFonts w:ascii="Liberation Sans" w:hAnsi="Liberation Sans" w:eastAsia="Liberation Sans" w:cs="Liberation Sans"/>
      <w:sz w:val="34"/>
    </w:rPr>
  </w:style>
  <w:style w:type="paragraph" w:styleId="665">
    <w:name w:val="Heading 3"/>
    <w:basedOn w:val="838"/>
    <w:next w:val="838"/>
    <w:link w:val="666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6">
    <w:name w:val="Heading 3 Char"/>
    <w:basedOn w:val="839"/>
    <w:link w:val="665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7">
    <w:name w:val="Heading 4"/>
    <w:basedOn w:val="838"/>
    <w:next w:val="838"/>
    <w:link w:val="668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8">
    <w:name w:val="Heading 4 Char"/>
    <w:basedOn w:val="839"/>
    <w:link w:val="66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9">
    <w:name w:val="Heading 5"/>
    <w:basedOn w:val="838"/>
    <w:next w:val="838"/>
    <w:link w:val="67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0">
    <w:name w:val="Heading 5 Char"/>
    <w:basedOn w:val="839"/>
    <w:link w:val="66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1">
    <w:name w:val="Heading 6"/>
    <w:basedOn w:val="838"/>
    <w:next w:val="838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2">
    <w:name w:val="Heading 6 Char"/>
    <w:basedOn w:val="839"/>
    <w:link w:val="67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3">
    <w:name w:val="Heading 7"/>
    <w:basedOn w:val="838"/>
    <w:next w:val="838"/>
    <w:link w:val="67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4">
    <w:name w:val="Heading 7 Char"/>
    <w:basedOn w:val="839"/>
    <w:link w:val="67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5">
    <w:name w:val="Heading 8"/>
    <w:basedOn w:val="838"/>
    <w:next w:val="838"/>
    <w:link w:val="67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6">
    <w:name w:val="Heading 8 Char"/>
    <w:basedOn w:val="839"/>
    <w:link w:val="67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7">
    <w:name w:val="Heading 9"/>
    <w:basedOn w:val="838"/>
    <w:next w:val="838"/>
    <w:link w:val="67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8">
    <w:name w:val="Heading 9 Char"/>
    <w:basedOn w:val="839"/>
    <w:link w:val="67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9">
    <w:name w:val="No Spacing"/>
    <w:uiPriority w:val="1"/>
    <w:qFormat/>
    <w:pPr>
      <w:spacing w:before="0" w:after="0" w:line="240" w:lineRule="auto"/>
    </w:pPr>
  </w:style>
  <w:style w:type="paragraph" w:styleId="680">
    <w:name w:val="Title"/>
    <w:basedOn w:val="838"/>
    <w:next w:val="838"/>
    <w:link w:val="68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1">
    <w:name w:val="Title Char"/>
    <w:basedOn w:val="839"/>
    <w:link w:val="680"/>
    <w:uiPriority w:val="10"/>
    <w:rPr>
      <w:sz w:val="48"/>
      <w:szCs w:val="48"/>
    </w:rPr>
  </w:style>
  <w:style w:type="paragraph" w:styleId="682">
    <w:name w:val="Subtitle"/>
    <w:basedOn w:val="838"/>
    <w:next w:val="838"/>
    <w:link w:val="683"/>
    <w:uiPriority w:val="11"/>
    <w:qFormat/>
    <w:pPr>
      <w:spacing w:before="200" w:after="200"/>
    </w:pPr>
    <w:rPr>
      <w:sz w:val="24"/>
      <w:szCs w:val="24"/>
    </w:rPr>
  </w:style>
  <w:style w:type="character" w:styleId="683">
    <w:name w:val="Subtitle Char"/>
    <w:basedOn w:val="839"/>
    <w:link w:val="682"/>
    <w:uiPriority w:val="11"/>
    <w:rPr>
      <w:sz w:val="24"/>
      <w:szCs w:val="24"/>
    </w:rPr>
  </w:style>
  <w:style w:type="paragraph" w:styleId="684">
    <w:name w:val="Quote"/>
    <w:basedOn w:val="838"/>
    <w:next w:val="838"/>
    <w:link w:val="685"/>
    <w:uiPriority w:val="29"/>
    <w:qFormat/>
    <w:pPr>
      <w:ind w:left="720" w:right="720"/>
    </w:pPr>
    <w:rPr>
      <w:i/>
    </w:rPr>
  </w:style>
  <w:style w:type="character" w:styleId="685">
    <w:name w:val="Quote Char"/>
    <w:link w:val="684"/>
    <w:uiPriority w:val="29"/>
    <w:rPr>
      <w:i/>
    </w:rPr>
  </w:style>
  <w:style w:type="paragraph" w:styleId="686">
    <w:name w:val="Intense Quote"/>
    <w:basedOn w:val="838"/>
    <w:next w:val="838"/>
    <w:link w:val="68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7">
    <w:name w:val="Intense Quote Char"/>
    <w:link w:val="686"/>
    <w:uiPriority w:val="30"/>
    <w:rPr>
      <w:i/>
    </w:rPr>
  </w:style>
  <w:style w:type="paragraph" w:styleId="688">
    <w:name w:val="Header"/>
    <w:basedOn w:val="838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Header Char"/>
    <w:basedOn w:val="839"/>
    <w:link w:val="688"/>
    <w:uiPriority w:val="99"/>
  </w:style>
  <w:style w:type="paragraph" w:styleId="690">
    <w:name w:val="Footer"/>
    <w:basedOn w:val="838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Footer Char"/>
    <w:basedOn w:val="839"/>
    <w:link w:val="690"/>
    <w:uiPriority w:val="99"/>
  </w:style>
  <w:style w:type="paragraph" w:styleId="692">
    <w:name w:val="Caption"/>
    <w:basedOn w:val="838"/>
    <w:next w:val="838"/>
    <w:link w:val="69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3">
    <w:name w:val="Caption Char"/>
    <w:basedOn w:val="839"/>
    <w:link w:val="692"/>
    <w:uiPriority w:val="35"/>
    <w:rPr>
      <w:b/>
      <w:bCs/>
      <w:color w:val="4f81bd" w:themeColor="accent1"/>
      <w:sz w:val="18"/>
      <w:szCs w:val="18"/>
    </w:rPr>
  </w:style>
  <w:style w:type="table" w:styleId="694">
    <w:name w:val="Table Grid"/>
    <w:basedOn w:val="84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Table Grid Light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Plain Table 1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7">
    <w:name w:val="Plain Table 2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8">
    <w:name w:val="Plain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9">
    <w:name w:val="Plain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Plain Table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1">
    <w:name w:val="Grid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3">
    <w:name w:val="Grid Table 4 - Accent 1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4">
    <w:name w:val="Grid Table 4 - Accent 2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5">
    <w:name w:val="Grid Table 4 - Accent 3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6">
    <w:name w:val="Grid Table 4 - Accent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7">
    <w:name w:val="Grid Table 4 - Accent 5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8">
    <w:name w:val="Grid Table 4 - Accent 6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9">
    <w:name w:val="Grid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6">
    <w:name w:val="Grid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7">
    <w:name w:val="Grid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8">
    <w:name w:val="Grid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9">
    <w:name w:val="Grid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0">
    <w:name w:val="Grid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1">
    <w:name w:val="Grid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2">
    <w:name w:val="Grid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3">
    <w:name w:val="Grid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8">
    <w:name w:val="List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9">
    <w:name w:val="List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0">
    <w:name w:val="List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1">
    <w:name w:val="List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2">
    <w:name w:val="List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3">
    <w:name w:val="List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4">
    <w:name w:val="List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5">
    <w:name w:val="List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6">
    <w:name w:val="List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7">
    <w:name w:val="List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8">
    <w:name w:val="List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9">
    <w:name w:val="List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0">
    <w:name w:val="List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1">
    <w:name w:val="List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2">
    <w:name w:val="List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3">
    <w:name w:val="List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4">
    <w:name w:val="List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5">
    <w:name w:val="List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6">
    <w:name w:val="List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7">
    <w:name w:val="List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8">
    <w:name w:val="List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9">
    <w:name w:val="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 &amp; 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Bordered &amp; 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8">
    <w:name w:val="Bordered &amp; 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9">
    <w:name w:val="Bordered &amp; 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0">
    <w:name w:val="Bordered &amp; 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1">
    <w:name w:val="Bordered &amp; 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2">
    <w:name w:val="Bordered &amp; 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3">
    <w:name w:val="Bordered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4">
    <w:name w:val="Bordered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5">
    <w:name w:val="Bordered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6">
    <w:name w:val="Bordered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7">
    <w:name w:val="Bordered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8">
    <w:name w:val="Bordered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9">
    <w:name w:val="Bordered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0">
    <w:name w:val="Hyperlink"/>
    <w:uiPriority w:val="99"/>
    <w:unhideWhenUsed/>
    <w:rPr>
      <w:color w:val="0000ff" w:themeColor="hyperlink"/>
      <w:u w:val="single"/>
    </w:rPr>
  </w:style>
  <w:style w:type="paragraph" w:styleId="821">
    <w:name w:val="footnote text"/>
    <w:basedOn w:val="838"/>
    <w:link w:val="822"/>
    <w:uiPriority w:val="99"/>
    <w:semiHidden/>
    <w:unhideWhenUsed/>
    <w:pPr>
      <w:spacing w:after="40" w:line="240" w:lineRule="auto"/>
    </w:pPr>
    <w:rPr>
      <w:sz w:val="18"/>
    </w:rPr>
  </w:style>
  <w:style w:type="character" w:styleId="822">
    <w:name w:val="Footnote Text Char"/>
    <w:link w:val="821"/>
    <w:uiPriority w:val="99"/>
    <w:rPr>
      <w:sz w:val="18"/>
    </w:rPr>
  </w:style>
  <w:style w:type="character" w:styleId="823">
    <w:name w:val="footnote reference"/>
    <w:basedOn w:val="839"/>
    <w:uiPriority w:val="99"/>
    <w:unhideWhenUsed/>
    <w:rPr>
      <w:vertAlign w:val="superscript"/>
    </w:rPr>
  </w:style>
  <w:style w:type="paragraph" w:styleId="824">
    <w:name w:val="endnote text"/>
    <w:basedOn w:val="838"/>
    <w:link w:val="825"/>
    <w:uiPriority w:val="99"/>
    <w:semiHidden/>
    <w:unhideWhenUsed/>
    <w:pPr>
      <w:spacing w:after="0" w:line="240" w:lineRule="auto"/>
    </w:pPr>
    <w:rPr>
      <w:sz w:val="20"/>
    </w:rPr>
  </w:style>
  <w:style w:type="character" w:styleId="825">
    <w:name w:val="Endnote Text Char"/>
    <w:link w:val="824"/>
    <w:uiPriority w:val="99"/>
    <w:rPr>
      <w:sz w:val="20"/>
    </w:rPr>
  </w:style>
  <w:style w:type="character" w:styleId="826">
    <w:name w:val="endnote reference"/>
    <w:basedOn w:val="839"/>
    <w:uiPriority w:val="99"/>
    <w:semiHidden/>
    <w:unhideWhenUsed/>
    <w:rPr>
      <w:vertAlign w:val="superscript"/>
    </w:rPr>
  </w:style>
  <w:style w:type="paragraph" w:styleId="827">
    <w:name w:val="toc 1"/>
    <w:basedOn w:val="838"/>
    <w:next w:val="838"/>
    <w:uiPriority w:val="39"/>
    <w:unhideWhenUsed/>
    <w:pPr>
      <w:ind w:left="0" w:right="0" w:firstLine="0"/>
      <w:spacing w:after="57"/>
    </w:pPr>
  </w:style>
  <w:style w:type="paragraph" w:styleId="828">
    <w:name w:val="toc 2"/>
    <w:basedOn w:val="838"/>
    <w:next w:val="838"/>
    <w:uiPriority w:val="39"/>
    <w:unhideWhenUsed/>
    <w:pPr>
      <w:ind w:left="283" w:right="0" w:firstLine="0"/>
      <w:spacing w:after="57"/>
    </w:pPr>
  </w:style>
  <w:style w:type="paragraph" w:styleId="829">
    <w:name w:val="toc 3"/>
    <w:basedOn w:val="838"/>
    <w:next w:val="838"/>
    <w:uiPriority w:val="39"/>
    <w:unhideWhenUsed/>
    <w:pPr>
      <w:ind w:left="567" w:right="0" w:firstLine="0"/>
      <w:spacing w:after="57"/>
    </w:pPr>
  </w:style>
  <w:style w:type="paragraph" w:styleId="830">
    <w:name w:val="toc 4"/>
    <w:basedOn w:val="838"/>
    <w:next w:val="838"/>
    <w:uiPriority w:val="39"/>
    <w:unhideWhenUsed/>
    <w:pPr>
      <w:ind w:left="850" w:right="0" w:firstLine="0"/>
      <w:spacing w:after="57"/>
    </w:pPr>
  </w:style>
  <w:style w:type="paragraph" w:styleId="831">
    <w:name w:val="toc 5"/>
    <w:basedOn w:val="838"/>
    <w:next w:val="838"/>
    <w:uiPriority w:val="39"/>
    <w:unhideWhenUsed/>
    <w:pPr>
      <w:ind w:left="1134" w:right="0" w:firstLine="0"/>
      <w:spacing w:after="57"/>
    </w:pPr>
  </w:style>
  <w:style w:type="paragraph" w:styleId="832">
    <w:name w:val="toc 6"/>
    <w:basedOn w:val="838"/>
    <w:next w:val="838"/>
    <w:uiPriority w:val="39"/>
    <w:unhideWhenUsed/>
    <w:pPr>
      <w:ind w:left="1417" w:right="0" w:firstLine="0"/>
      <w:spacing w:after="57"/>
    </w:pPr>
  </w:style>
  <w:style w:type="paragraph" w:styleId="833">
    <w:name w:val="toc 7"/>
    <w:basedOn w:val="838"/>
    <w:next w:val="838"/>
    <w:uiPriority w:val="39"/>
    <w:unhideWhenUsed/>
    <w:pPr>
      <w:ind w:left="1701" w:right="0" w:firstLine="0"/>
      <w:spacing w:after="57"/>
    </w:pPr>
  </w:style>
  <w:style w:type="paragraph" w:styleId="834">
    <w:name w:val="toc 8"/>
    <w:basedOn w:val="838"/>
    <w:next w:val="838"/>
    <w:uiPriority w:val="39"/>
    <w:unhideWhenUsed/>
    <w:pPr>
      <w:ind w:left="1984" w:right="0" w:firstLine="0"/>
      <w:spacing w:after="57"/>
    </w:pPr>
  </w:style>
  <w:style w:type="paragraph" w:styleId="835">
    <w:name w:val="toc 9"/>
    <w:basedOn w:val="838"/>
    <w:next w:val="838"/>
    <w:uiPriority w:val="39"/>
    <w:unhideWhenUsed/>
    <w:pPr>
      <w:ind w:left="2268" w:right="0" w:firstLine="0"/>
      <w:spacing w:after="57"/>
    </w:pPr>
  </w:style>
  <w:style w:type="paragraph" w:styleId="836">
    <w:name w:val="TOC Heading"/>
    <w:uiPriority w:val="39"/>
    <w:unhideWhenUsed/>
  </w:style>
  <w:style w:type="paragraph" w:styleId="837">
    <w:name w:val="table of figures"/>
    <w:basedOn w:val="838"/>
    <w:next w:val="838"/>
    <w:uiPriority w:val="99"/>
    <w:unhideWhenUsed/>
    <w:pPr>
      <w:spacing w:after="0" w:afterAutospacing="0"/>
    </w:pPr>
  </w:style>
  <w:style w:type="paragraph" w:styleId="838" w:default="1">
    <w:name w:val="Normal"/>
    <w:qFormat/>
  </w:style>
  <w:style w:type="character" w:styleId="839" w:default="1">
    <w:name w:val="Default Paragraph Font"/>
    <w:uiPriority w:val="1"/>
    <w:semiHidden/>
    <w:unhideWhenUsed/>
  </w:style>
  <w:style w:type="table" w:styleId="8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1" w:default="1">
    <w:name w:val="No List"/>
    <w:uiPriority w:val="99"/>
    <w:semiHidden/>
    <w:unhideWhenUsed/>
  </w:style>
  <w:style w:type="paragraph" w:styleId="842">
    <w:name w:val="List Paragraph"/>
    <w:basedOn w:val="838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maltakovavv</cp:lastModifiedBy>
  <cp:revision>11</cp:revision>
  <dcterms:created xsi:type="dcterms:W3CDTF">2026-02-17T11:03:00Z</dcterms:created>
  <dcterms:modified xsi:type="dcterms:W3CDTF">2026-05-19T11:39:06Z</dcterms:modified>
</cp:coreProperties>
</file>