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9C" w:rsidRDefault="008D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8D039C" w:rsidRDefault="008D039C" w:rsidP="008D039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Протоколу</w:t>
      </w:r>
      <w:r w:rsidRPr="008D039C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Комиссии</w:t>
      </w:r>
    </w:p>
    <w:p w:rsidR="008D039C" w:rsidRDefault="008D039C" w:rsidP="008D039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работе с соотечественниками за рубежом</w:t>
      </w:r>
    </w:p>
    <w:p w:rsidR="008D039C" w:rsidRDefault="008D039C" w:rsidP="008D039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Правительстве Ханты-Мансийского</w:t>
      </w:r>
    </w:p>
    <w:p w:rsidR="008D039C" w:rsidRDefault="008D039C" w:rsidP="008D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 – Югры</w:t>
      </w:r>
    </w:p>
    <w:p w:rsidR="008D039C" w:rsidRDefault="008D039C" w:rsidP="008D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 декабря 2025 года</w:t>
      </w:r>
    </w:p>
    <w:bookmarkEnd w:id="0"/>
    <w:p w:rsidR="008D039C" w:rsidRDefault="008D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046" w:rsidRDefault="008D0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сотрудничеству исполнительных органов Ханты-Мансийского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автономного округа – Югры, органов местного самоуправления, предприятий и организаций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Ханты-Мансийского автономного округа – Югры с соотечественниками, </w:t>
      </w:r>
      <w:r>
        <w:rPr>
          <w:rFonts w:ascii="Times New Roman" w:hAnsi="Times New Roman" w:cs="Times New Roman"/>
          <w:b/>
          <w:sz w:val="28"/>
          <w:szCs w:val="28"/>
        </w:rPr>
        <w:br/>
        <w:t>проживающими за рубежом, и их организациями на 2026 год</w:t>
      </w:r>
    </w:p>
    <w:p w:rsidR="00237046" w:rsidRDefault="0023704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1559"/>
        <w:gridCol w:w="5244"/>
        <w:gridCol w:w="3543"/>
      </w:tblGrid>
      <w:tr w:rsidR="00237046">
        <w:tc>
          <w:tcPr>
            <w:tcW w:w="675" w:type="dxa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2" w:type="dxa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543" w:type="dxa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 делегации соотечественников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Арабской Республики Египет в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 с целью знакомства с историей, культурой и традициями автономного округа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общественная организация «Общество русской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фестиваль «Многоголосье: поэзия единого мира»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Нефтеюганского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выполнения муниципального задания 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международного фестиваля кинематографических дебютов «Дух огня» в Берлине 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  <w:p w:rsidR="00237046" w:rsidRDefault="0023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учрежде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Ханты-Мансийского автономного округа – Югры «Концертно-театральный центр «Югра – Классик»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участию представителей соотечественников в XX Международном турнире по вольной борьбе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июнь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учреждение Нефтеюганского района «Центр спорта и культуры»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научная студенческая конференция «Русский язык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веке: исследования молодых»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конкурс-выставка детского художественного творчества «Славянские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зоры»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образование в области культуры Белоярского района «Детская школа искусств г. Белоярский»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медиа-мостов «Нижневартовск - Тирасполь: стираем границы, объединяем города» (в сотрудничестве с Центральной городской библиотекой им. А.С. Пушкина, г. Тирасполь, Приднестровье, Республика Молдова)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библиотека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бюджетного учреждения «Библиотечно-информационная система» города Нижневартовска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Научный семинар для магистрантов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аспирантов с участием педагогов ДОО «Управлен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 сопровождение педагогов в реализации образовательных программ дошкольного образования»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Онлайн-конференция (круглый стол) «Многонациональная культура народов России» (в сотрудничестве с КГУ Средняя школа № 44 города Петропавловска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Казахстанской области Республики Казахстан)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автономное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общеобразовательная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 2»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Покачи</w:t>
            </w:r>
            <w:proofErr w:type="spellEnd"/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Онлайн-лаборатория мастерства «Секреты профессионалов»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сотрудничестве с Березинской центральной районной библиотекой, г. Березино Минской области, Республики Беларусь)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городская библиотека им. М.К.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бюджетного учреждения «Библиотечно-информационная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ма» города Нижневартовска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Международный научно-педагогический симпозиум «Актуальные проблемы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инновационного развития современного образования»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31 марта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учреждение высшего образования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округа – Югры «Сургутский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университет» (далее - Сургутский государственный университет)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представителей Сургутского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енного университета в Научно-практической конференции «Инновационная спортивная наука – платформа будущего» (г. Минск Республики Беларусь)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марта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культурно-исторический семинар «Роль и место народной дипломатии в современном мире» с участием представителей Арабской Республики Египет образовательный центр «Ботаник» в онлайн-формате</w:t>
            </w:r>
          </w:p>
          <w:p w:rsidR="00237046" w:rsidRDefault="0023704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апрель</w:t>
            </w:r>
          </w:p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общественная организация «Общество русской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37046" w:rsidRDefault="00237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Международное соревнование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боксу «XXI Кубок мира нефтяных стран, посвященный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Героя социалистического труда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Ф.К.Салманова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среди мужчин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 до 40 лет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физической культуры и спорта Ханты-Мансийского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Ханты-Мансийского автономного округа – Югры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студенческая дистанционная олимпиада по дошкольной педагогике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апрель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конференция молодых ученых «Русский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евразийском культурном пространстве»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 дружбы «Победа одна на всех!». Мероприятие приурочено ко Дню Победы в Великой Отечественной Войне. Встреча с соотечественниками, проживающими в Республиках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Беларусь, Казахстан, Узбекистан в онлайн формате</w:t>
            </w:r>
          </w:p>
          <w:p w:rsidR="00237046" w:rsidRDefault="0023704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«Центр  сохранения и развития башкирской культуры «Семь лепестков»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Медиа-мост «Две страны – одна судьба» (в сотрудничестве с Петриковской сетью публичных библиотек, г. Петриков Гомельской области Республики Бел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арусь)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библиотека №5 муниципального бюджетного учреждения «Библиотечно-информационная система»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города Нижневартовска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Дню единения народов России и Беларуси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 национальных культур» города Нижневартовска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научно-практический семинар «Дошкольное образование: опыт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роблемы, перспективы»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и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– Югры, бюджетное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Югорский лыжный марафон «UGRA SKI»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Кибертурнир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г. Белград Республики Сербия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«Молодежный центр «Гелиос»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V Международный нефтяной академический конгресс им.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Ф.К.Салманова</w:t>
            </w:r>
            <w:proofErr w:type="spellEnd"/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Телемост дружб, посвященный Дню единения народов Беларуси и России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 апреля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XXII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Международный турнир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шахматам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А.Е.Карпова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Karpov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Chess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Tournament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10 по 22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Ханты-Мансийского автономн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округа – Югры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Культурно-просветительская программа «Диалог культур – путь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взаимопониманию и согласию народов. Страницы общей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культуры». Проект будет реализован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представителей из города Каира Арабской Республики Египет в онлайн формате</w:t>
            </w:r>
          </w:p>
          <w:p w:rsidR="00237046" w:rsidRDefault="0023704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май</w:t>
            </w:r>
          </w:p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общественная организация «Общество русской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Марафон-чтения «Голос патриотов»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июнь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Нефтеюганского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выполнения муниципального задания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фотовыставки «Иртыш транзит», место экспонирования Республиканское государственное казен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предприятие «Национальный музей Республики Казахстан» Министерства культуры и информации Республики Казахстан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с апреля по сентябрь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Ханты-Мансийского</w:t>
            </w:r>
          </w:p>
          <w:p w:rsidR="00237046" w:rsidRDefault="008D03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автономного округа – 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«Музей Природы и Человека»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  <w:p w:rsidR="00237046" w:rsidRDefault="0023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Акция, посвященная празднованию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Дня Победы в Великой Отечественной Войне, по посадке саженцев на Аллее Славы</w:t>
            </w:r>
          </w:p>
          <w:p w:rsidR="00237046" w:rsidRDefault="00237046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июнь</w:t>
            </w:r>
          </w:p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общественная организация «Общество русской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37046" w:rsidRDefault="00237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студенческая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научно-практическая конференция «Актуальные проблемы науки в студенческих исследованиях – 2026»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и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– Югры, бюджетное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городской конкурс творческих работ «И первым было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…», приуроченный к Дню славянской письменности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музыкальная школа им. В.В. Андреева» города Нефтеюганска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обучающихся детской школы искусств «Война. Победа. Память»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хоровой фестиваль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 сокровищам 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слова» в рамках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«Укрепление межнационального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межконфессионального согласия, профилактика экстремизма в городе Нефтеюганске»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города Нефтеюганска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Телемост «Многонациональная история Победы» (с участием представителей Республик Беларусь, Азербайджан, Узбекиста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н)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молодежной политики «Центр молодежных и гражданских инициатив»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Урая</w:t>
            </w:r>
            <w:proofErr w:type="spellEnd"/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93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Пространственное социально-экономическое развитие территорий: формирование комфортной среды и повышения качества жизни населения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«Югорский государственный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Международные соревнования на Кубок Губернатора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округа – Югры по гребле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обласах</w:t>
            </w:r>
            <w:proofErr w:type="spellEnd"/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июль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автономного округа – Югры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соотечественников из других стран при реализации проекта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«Ночь искусств»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сентябрь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 работы библиотек «Калейдоскоп проектов» 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сентябрь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Нефтеюганского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выполнения муниципального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культурно-просветительский форум по сохранению и популяризации русского языка и традиционной русской культуры «Русская горница» с участием соотечественников в Арабской Республике Египет в онлайн формате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сентябрь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общественная организация «Общество русской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37046" w:rsidRDefault="00237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«С Днем библиотек, коллеги!» (отправка поздравительных открыток на адрес библиотек Республики Беларусь)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15 сентября</w:t>
            </w:r>
          </w:p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«Библиотечно-информационная система»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Международная научно-практическая конференция «Стратегические направления противодействия преступности на националь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ном и транснациональном уровне памяти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С.А.Черноморца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 Международная научно-практическая конференция «Перспективы развития современного образования»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Нижневартовска, муниципальное автономное учреждение города Нижневартовска «Центр развития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олимпиаде школьников Союзного государства «Россия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Беларусь: историческая и духовная общность»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Нефтеюганского района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«Образование 21 века»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Телемост, приуроченный Дню пожилого человека в рамках фестиваля граждан старшего поколения «Серебряные нити»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Фотомарафон «Лучшая на свете», посвященный празднованию Дня матери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декабрь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учреждение Нефтеюганского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выполнения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задания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Мотивирующая встреча молодежи Нефтеюганского района «Ты можешь всё!» с влиятельным молодежным лидером и правозащитником из Исламской Республики Гамбия, чья деятельность сосредоточена на расширении прав и возможностей лиц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инвалидностью через личный пример, спорт и публичную коммуникацию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декабрь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Нефтеюганского района «Комплексный молодежный центр «Перспектива»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выполнения муниципального задания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инклюзивный турнир по жиму лежа «Кубок чемпионов»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призы чемпионов и рекордсменов мира Э.В. Исакова и А.А. Воробьева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 «Язык культуры, культура языка»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и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округа – Югры, бюджетное учреждение высшего образования Ханты-Мансийского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 округа – Югры «Сургутский государственный педагогический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«Россия-это мы»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Советского района»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 Всероссийская научно- практическая конференция с международным участием «Безопасный Север - чистая Арктика»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учреждение высшего образования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– Югры «Сургутский государственный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XXV Всероссийская научно- практическая конференция с международным участием «Физическая культура и спорт: состояние и перспективы»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высшего образования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округа – Югры «Сургутский государственный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представителей бюджетного учреждения высшего образования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округа – Югры «Сургутский государственный университет» во II Международном Китайско-Белорусском форуме по развитию физической культуры и спорта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ноября</w:t>
            </w:r>
          </w:p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Бюджетное учреждение высшего образования Ханты-Мансийского автономного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округа – Югры «Сургутский государственный университет»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турнир «Кубок Содружества» по ММА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декабрь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автономного округа – Югры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профессионального мастерства «Содружество молодых педагогов»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Нижневартовска, муниципальное автономное учреждение города Нижневартовска «Центр развития образования»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 муниципальный этап 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Международных образовательных Рождественских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тений 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района, комитет по культуре администрации Белоярского района, Белоярское благочиние Югорской Епархии РПЦ, муниципальное автономное учреждение в сфере образования Белоярского района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Белоярский методический центр», бюджетное учреждение «Белоярский политехнический колледж»</w:t>
            </w:r>
          </w:p>
          <w:p w:rsidR="00237046" w:rsidRDefault="0023704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Белоярского района, внебюджетные источники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основной экспозиции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«Из глубины веков»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научно-просветительской деятельности муниципального автономного учреждения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«Музейно-культурный центр»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на сайте учреждения полнотекстовых изданий электронной библиотеки муниципального автономного учреждения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«Библиотечно-информационная система»</w:t>
            </w:r>
          </w:p>
          <w:p w:rsidR="00237046" w:rsidRDefault="00237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«Библиотечно-информационная система»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библиотечный проект «Белый город – Белая Русь: «Литературный транзит»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«Белоярская централизованная библиотечная система»</w:t>
            </w:r>
          </w:p>
          <w:p w:rsidR="00237046" w:rsidRDefault="0023704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плана мероприятий совместно с КГУ «Северо-Казахстанская областная детско-юношеская 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Мусрепова Управления культуры, развития языков и архивного 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Северо-Казахстанской области»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«Городская библиотека» города Нефтеюганска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информацией о туристических возможностях Нижневартовского района и муниципальных образований иностранных государств, размещение ее на актуальных информационных ресурсах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и спорта администрации Нижневартовско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спортсменов в совместных тренировочных сборах и соревнованиях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и спорта администрации Нижневартовского района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укрепление и тиражирование традиций культурного обмена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видеомосты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фотовыставки, переводы интеллектуальных продуктов в сфере культуры на иностранные языки, онлайн-концерты)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и спорта администрации Нижневартовского района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статей в газете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новости» в рамках рубрики «Соотечественники»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агентство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новости», управление общес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твенных связей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Организация и участие в мероприятиях по линии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Россотрудничества</w:t>
            </w:r>
            <w:proofErr w:type="spellEnd"/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русскому языку, истории и культуре России для студентов вузов-партнеров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«Нижневартовский государственный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и всероссийские форумы, научно-практические конференции с международным участием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«Нижневартовский государственный университет»</w:t>
            </w:r>
          </w:p>
          <w:p w:rsidR="00237046" w:rsidRDefault="0023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совместных образовательных программ с высшими учебными заведениями стран ближнего зарубежья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«Нижневартовский государственный универ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Проведение презентации образовательного потенциала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за рубежом, участие в образовательных выставках</w:t>
            </w:r>
          </w:p>
          <w:p w:rsidR="00237046" w:rsidRDefault="00237046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распространение среди молодежи из числа соотечественников, проживающих за рубежом, и иностранных граждан, информации об образовательных услугах организаций высшего образования Ханты-Мансийского автономного округа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Югры 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и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сопровождение подпрограммы «Оказание содействия добровольному переселению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Ханты-Мансийский автономный округ – Юг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 соотечественников, проживающих за рубежом,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2026 - 2030 годы» посредством размещения информации в Информационной системе «Мигрант» и социальных сетях Департамента труда и занятости населения Ханты-Мансийского автономного округа – Югры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труда и занятости населения Ханты-Мансийского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автономного округа – Югры 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культурно-образовательной поездки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Ханты-Мансийский автономный округ – Югру для молодых соотечественников по программе «Здравствуй, Россия!»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молодежной политики, гражданских инициатив и внешних связей Ханты-Мансийского автономного округа – Югры, Департаме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образования и науки Ханты-Мансийского автономного округа – Югры, Департамент культуры Ханты-Мансийского автономного округа – Югры, Департамент промышленности Ханты-Мансийского автономного округа – Югры, Фонд «Центр гражданских и социальных инициатив Югр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ы» (по согласованию) 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Ханты-Мансийского автономного округа – Югры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проекта «Неделя русского языка» в зарубежных государствах (выездные миссии, участие представителей иностранных государств)</w:t>
            </w: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молодежной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итики, гражданских инициатив и внешних связей Ханты-Мансийского автономного округа – Югры, Департамент образования и науки Ханты-Мансийского автономного округа – Югры, бюджетное учреждение высшего образования Ханты-Мансийского автономного округа – Югры «Су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ргутский государственный педагогический университет» (по согласованию), федеральное государственное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бюджетное образовательное учреждение высшего образования «Югорский государственный университет» (по согласованию), бюджетное учреждение высшего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автономного округа – Югры «Сургутский государственный университет» (по согласованию), федеральное государственное бюджетное образовательное учреждение высшего образования «Нижневартовский государственный университет» (по согласованию),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джетное учреждение высшего образования Ханты-Мансийского автономного округа – Югра «Ханты-Мансийская государственная медицинская академия» (по согласованию), бюджетное учреждение Ханты-Мансийского автономного округа – Югры «Обско-угорский институт прикладн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исследований и разработок» (по согласованию), Фонд «Центр гражданских и социальных инициатив Югры» (по согласованию)</w:t>
            </w:r>
          </w:p>
          <w:p w:rsidR="00237046" w:rsidRDefault="002370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Ханты-Мансийского автономного округа – Югры</w:t>
            </w:r>
          </w:p>
        </w:tc>
      </w:tr>
      <w:tr w:rsidR="00237046">
        <w:trPr>
          <w:trHeight w:val="276"/>
        </w:trPr>
        <w:tc>
          <w:tcPr>
            <w:tcW w:w="675" w:type="dxa"/>
            <w:vMerge w:val="restart"/>
          </w:tcPr>
          <w:p w:rsidR="00237046" w:rsidRDefault="00237046">
            <w:pPr>
              <w:pStyle w:val="af7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237046" w:rsidRDefault="008D039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Презентации образовательного потенциала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автономного округа в иностранных государствах, в том числе странах Содружества Независимых Государств, с участием российских центров науки и культуры за рубежом, учреждений высшего образования, осуществляющих деятельность на территории автономного округа </w:t>
            </w:r>
          </w:p>
          <w:p w:rsidR="00237046" w:rsidRDefault="0023704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2026 года</w:t>
            </w:r>
          </w:p>
        </w:tc>
        <w:tc>
          <w:tcPr>
            <w:tcW w:w="5244" w:type="dxa"/>
            <w:vMerge w:val="restart"/>
          </w:tcPr>
          <w:p w:rsidR="00237046" w:rsidRDefault="008D03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 молодежной политики, гражданских инициатив и внешних связей Ханты-Мансийского автономного округа – Югры, Департамент образования и науки Ханты-Мансийского автономного округа – Югры, Департамент труда и занятости Ханты-Манс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ийского автономного округа – Югры</w:t>
            </w:r>
          </w:p>
        </w:tc>
        <w:tc>
          <w:tcPr>
            <w:tcW w:w="3543" w:type="dxa"/>
            <w:vMerge w:val="restart"/>
          </w:tcPr>
          <w:p w:rsidR="00237046" w:rsidRDefault="008D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Ханты-Мансийского автономного округа – Югры</w:t>
            </w:r>
          </w:p>
        </w:tc>
      </w:tr>
    </w:tbl>
    <w:p w:rsidR="00237046" w:rsidRDefault="00237046"/>
    <w:sectPr w:rsidR="00237046">
      <w:headerReference w:type="default" r:id="rId7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46" w:rsidRDefault="008D039C">
      <w:pPr>
        <w:spacing w:after="0" w:line="240" w:lineRule="auto"/>
      </w:pPr>
      <w:r>
        <w:separator/>
      </w:r>
    </w:p>
  </w:endnote>
  <w:endnote w:type="continuationSeparator" w:id="0">
    <w:p w:rsidR="00237046" w:rsidRDefault="008D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46" w:rsidRDefault="008D039C">
      <w:pPr>
        <w:spacing w:after="0" w:line="240" w:lineRule="auto"/>
      </w:pPr>
      <w:r>
        <w:separator/>
      </w:r>
    </w:p>
  </w:footnote>
  <w:footnote w:type="continuationSeparator" w:id="0">
    <w:p w:rsidR="00237046" w:rsidRDefault="008D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46" w:rsidRDefault="008D039C">
    <w:pPr>
      <w:pStyle w:val="af9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13</w:t>
    </w:r>
    <w:r>
      <w:fldChar w:fldCharType="end"/>
    </w:r>
  </w:p>
  <w:p w:rsidR="00237046" w:rsidRDefault="0023704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444"/>
    <w:multiLevelType w:val="hybridMultilevel"/>
    <w:tmpl w:val="3126D6C8"/>
    <w:lvl w:ilvl="0" w:tplc="760A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6EFFC">
      <w:start w:val="1"/>
      <w:numFmt w:val="lowerLetter"/>
      <w:lvlText w:val="%2."/>
      <w:lvlJc w:val="left"/>
      <w:pPr>
        <w:ind w:left="1440" w:hanging="360"/>
      </w:pPr>
    </w:lvl>
    <w:lvl w:ilvl="2" w:tplc="374E1FFE">
      <w:start w:val="1"/>
      <w:numFmt w:val="lowerRoman"/>
      <w:lvlText w:val="%3."/>
      <w:lvlJc w:val="right"/>
      <w:pPr>
        <w:ind w:left="2160" w:hanging="180"/>
      </w:pPr>
    </w:lvl>
    <w:lvl w:ilvl="3" w:tplc="B30A1380">
      <w:start w:val="1"/>
      <w:numFmt w:val="decimal"/>
      <w:lvlText w:val="%4."/>
      <w:lvlJc w:val="left"/>
      <w:pPr>
        <w:ind w:left="2880" w:hanging="360"/>
      </w:pPr>
    </w:lvl>
    <w:lvl w:ilvl="4" w:tplc="9C609C90">
      <w:start w:val="1"/>
      <w:numFmt w:val="lowerLetter"/>
      <w:lvlText w:val="%5."/>
      <w:lvlJc w:val="left"/>
      <w:pPr>
        <w:ind w:left="3600" w:hanging="360"/>
      </w:pPr>
    </w:lvl>
    <w:lvl w:ilvl="5" w:tplc="E5CC43E8">
      <w:start w:val="1"/>
      <w:numFmt w:val="lowerRoman"/>
      <w:lvlText w:val="%6."/>
      <w:lvlJc w:val="right"/>
      <w:pPr>
        <w:ind w:left="4320" w:hanging="180"/>
      </w:pPr>
    </w:lvl>
    <w:lvl w:ilvl="6" w:tplc="A156FBDA">
      <w:start w:val="1"/>
      <w:numFmt w:val="decimal"/>
      <w:lvlText w:val="%7."/>
      <w:lvlJc w:val="left"/>
      <w:pPr>
        <w:ind w:left="5040" w:hanging="360"/>
      </w:pPr>
    </w:lvl>
    <w:lvl w:ilvl="7" w:tplc="960816BE">
      <w:start w:val="1"/>
      <w:numFmt w:val="lowerLetter"/>
      <w:lvlText w:val="%8."/>
      <w:lvlJc w:val="left"/>
      <w:pPr>
        <w:ind w:left="5760" w:hanging="360"/>
      </w:pPr>
    </w:lvl>
    <w:lvl w:ilvl="8" w:tplc="F61C44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665"/>
    <w:multiLevelType w:val="hybridMultilevel"/>
    <w:tmpl w:val="C8FE4B6A"/>
    <w:lvl w:ilvl="0" w:tplc="8A2897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829F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1807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A847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D614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AAC85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BE2D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AA4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B24F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9A0284"/>
    <w:multiLevelType w:val="hybridMultilevel"/>
    <w:tmpl w:val="588413B8"/>
    <w:lvl w:ilvl="0" w:tplc="012C53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6C4B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E0BD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EC20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44AE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B69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469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1CC6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76AB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E925B4"/>
    <w:multiLevelType w:val="hybridMultilevel"/>
    <w:tmpl w:val="6096F352"/>
    <w:lvl w:ilvl="0" w:tplc="4B182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BA071C">
      <w:start w:val="1"/>
      <w:numFmt w:val="lowerLetter"/>
      <w:lvlText w:val="%2."/>
      <w:lvlJc w:val="left"/>
      <w:pPr>
        <w:ind w:left="1440" w:hanging="360"/>
      </w:pPr>
    </w:lvl>
    <w:lvl w:ilvl="2" w:tplc="3A3A37A0">
      <w:start w:val="1"/>
      <w:numFmt w:val="lowerRoman"/>
      <w:lvlText w:val="%3."/>
      <w:lvlJc w:val="right"/>
      <w:pPr>
        <w:ind w:left="2160" w:hanging="180"/>
      </w:pPr>
    </w:lvl>
    <w:lvl w:ilvl="3" w:tplc="6BEEFCFC">
      <w:start w:val="1"/>
      <w:numFmt w:val="decimal"/>
      <w:lvlText w:val="%4."/>
      <w:lvlJc w:val="left"/>
      <w:pPr>
        <w:ind w:left="2880" w:hanging="360"/>
      </w:pPr>
    </w:lvl>
    <w:lvl w:ilvl="4" w:tplc="F208BE5E">
      <w:start w:val="1"/>
      <w:numFmt w:val="lowerLetter"/>
      <w:lvlText w:val="%5."/>
      <w:lvlJc w:val="left"/>
      <w:pPr>
        <w:ind w:left="3600" w:hanging="360"/>
      </w:pPr>
    </w:lvl>
    <w:lvl w:ilvl="5" w:tplc="A5E28042">
      <w:start w:val="1"/>
      <w:numFmt w:val="lowerRoman"/>
      <w:lvlText w:val="%6."/>
      <w:lvlJc w:val="right"/>
      <w:pPr>
        <w:ind w:left="4320" w:hanging="180"/>
      </w:pPr>
    </w:lvl>
    <w:lvl w:ilvl="6" w:tplc="EBC20754">
      <w:start w:val="1"/>
      <w:numFmt w:val="decimal"/>
      <w:lvlText w:val="%7."/>
      <w:lvlJc w:val="left"/>
      <w:pPr>
        <w:ind w:left="5040" w:hanging="360"/>
      </w:pPr>
    </w:lvl>
    <w:lvl w:ilvl="7" w:tplc="9ECA5B52">
      <w:start w:val="1"/>
      <w:numFmt w:val="lowerLetter"/>
      <w:lvlText w:val="%8."/>
      <w:lvlJc w:val="left"/>
      <w:pPr>
        <w:ind w:left="5760" w:hanging="360"/>
      </w:pPr>
    </w:lvl>
    <w:lvl w:ilvl="8" w:tplc="B972C4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4DA4"/>
    <w:multiLevelType w:val="hybridMultilevel"/>
    <w:tmpl w:val="C30A0DEA"/>
    <w:lvl w:ilvl="0" w:tplc="2CB45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5A338C">
      <w:start w:val="1"/>
      <w:numFmt w:val="lowerLetter"/>
      <w:lvlText w:val="%2."/>
      <w:lvlJc w:val="left"/>
      <w:pPr>
        <w:ind w:left="1440" w:hanging="360"/>
      </w:pPr>
    </w:lvl>
    <w:lvl w:ilvl="2" w:tplc="F120D7FE">
      <w:start w:val="1"/>
      <w:numFmt w:val="lowerRoman"/>
      <w:lvlText w:val="%3."/>
      <w:lvlJc w:val="right"/>
      <w:pPr>
        <w:ind w:left="2160" w:hanging="180"/>
      </w:pPr>
    </w:lvl>
    <w:lvl w:ilvl="3" w:tplc="BFE0A576">
      <w:start w:val="1"/>
      <w:numFmt w:val="decimal"/>
      <w:lvlText w:val="%4."/>
      <w:lvlJc w:val="left"/>
      <w:pPr>
        <w:ind w:left="2880" w:hanging="360"/>
      </w:pPr>
    </w:lvl>
    <w:lvl w:ilvl="4" w:tplc="3294AD6A">
      <w:start w:val="1"/>
      <w:numFmt w:val="lowerLetter"/>
      <w:lvlText w:val="%5."/>
      <w:lvlJc w:val="left"/>
      <w:pPr>
        <w:ind w:left="3600" w:hanging="360"/>
      </w:pPr>
    </w:lvl>
    <w:lvl w:ilvl="5" w:tplc="4470D3CE">
      <w:start w:val="1"/>
      <w:numFmt w:val="lowerRoman"/>
      <w:lvlText w:val="%6."/>
      <w:lvlJc w:val="right"/>
      <w:pPr>
        <w:ind w:left="4320" w:hanging="180"/>
      </w:pPr>
    </w:lvl>
    <w:lvl w:ilvl="6" w:tplc="41A24414">
      <w:start w:val="1"/>
      <w:numFmt w:val="decimal"/>
      <w:lvlText w:val="%7."/>
      <w:lvlJc w:val="left"/>
      <w:pPr>
        <w:ind w:left="5040" w:hanging="360"/>
      </w:pPr>
    </w:lvl>
    <w:lvl w:ilvl="7" w:tplc="02DE45D0">
      <w:start w:val="1"/>
      <w:numFmt w:val="lowerLetter"/>
      <w:lvlText w:val="%8."/>
      <w:lvlJc w:val="left"/>
      <w:pPr>
        <w:ind w:left="5760" w:hanging="360"/>
      </w:pPr>
    </w:lvl>
    <w:lvl w:ilvl="8" w:tplc="BBF2AD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104F"/>
    <w:multiLevelType w:val="hybridMultilevel"/>
    <w:tmpl w:val="CDF4AAD0"/>
    <w:lvl w:ilvl="0" w:tplc="9DEE5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ED328">
      <w:start w:val="1"/>
      <w:numFmt w:val="lowerLetter"/>
      <w:lvlText w:val="%2."/>
      <w:lvlJc w:val="left"/>
      <w:pPr>
        <w:ind w:left="1440" w:hanging="360"/>
      </w:pPr>
    </w:lvl>
    <w:lvl w:ilvl="2" w:tplc="47748E3A">
      <w:start w:val="1"/>
      <w:numFmt w:val="lowerRoman"/>
      <w:lvlText w:val="%3."/>
      <w:lvlJc w:val="right"/>
      <w:pPr>
        <w:ind w:left="2160" w:hanging="180"/>
      </w:pPr>
    </w:lvl>
    <w:lvl w:ilvl="3" w:tplc="A8180E22">
      <w:start w:val="1"/>
      <w:numFmt w:val="decimal"/>
      <w:lvlText w:val="%4."/>
      <w:lvlJc w:val="left"/>
      <w:pPr>
        <w:ind w:left="2880" w:hanging="360"/>
      </w:pPr>
    </w:lvl>
    <w:lvl w:ilvl="4" w:tplc="A7980C7A">
      <w:start w:val="1"/>
      <w:numFmt w:val="lowerLetter"/>
      <w:lvlText w:val="%5."/>
      <w:lvlJc w:val="left"/>
      <w:pPr>
        <w:ind w:left="3600" w:hanging="360"/>
      </w:pPr>
    </w:lvl>
    <w:lvl w:ilvl="5" w:tplc="29840F10">
      <w:start w:val="1"/>
      <w:numFmt w:val="lowerRoman"/>
      <w:lvlText w:val="%6."/>
      <w:lvlJc w:val="right"/>
      <w:pPr>
        <w:ind w:left="4320" w:hanging="180"/>
      </w:pPr>
    </w:lvl>
    <w:lvl w:ilvl="6" w:tplc="23BAE884">
      <w:start w:val="1"/>
      <w:numFmt w:val="decimal"/>
      <w:lvlText w:val="%7."/>
      <w:lvlJc w:val="left"/>
      <w:pPr>
        <w:ind w:left="5040" w:hanging="360"/>
      </w:pPr>
    </w:lvl>
    <w:lvl w:ilvl="7" w:tplc="AA8A1206">
      <w:start w:val="1"/>
      <w:numFmt w:val="lowerLetter"/>
      <w:lvlText w:val="%8."/>
      <w:lvlJc w:val="left"/>
      <w:pPr>
        <w:ind w:left="5760" w:hanging="360"/>
      </w:pPr>
    </w:lvl>
    <w:lvl w:ilvl="8" w:tplc="D16226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209FE"/>
    <w:multiLevelType w:val="hybridMultilevel"/>
    <w:tmpl w:val="2D9E673A"/>
    <w:lvl w:ilvl="0" w:tplc="B3A8C64C">
      <w:start w:val="1"/>
      <w:numFmt w:val="decimal"/>
      <w:lvlText w:val="%1."/>
      <w:lvlJc w:val="left"/>
      <w:pPr>
        <w:ind w:left="709" w:hanging="360"/>
      </w:pPr>
      <w:rPr>
        <w:highlight w:val="none"/>
      </w:rPr>
    </w:lvl>
    <w:lvl w:ilvl="1" w:tplc="F68E52CA">
      <w:start w:val="1"/>
      <w:numFmt w:val="lowerLetter"/>
      <w:lvlText w:val="%2."/>
      <w:lvlJc w:val="left"/>
      <w:pPr>
        <w:ind w:left="1429" w:hanging="360"/>
      </w:pPr>
    </w:lvl>
    <w:lvl w:ilvl="2" w:tplc="9CB4566C">
      <w:start w:val="1"/>
      <w:numFmt w:val="lowerRoman"/>
      <w:lvlText w:val="%3."/>
      <w:lvlJc w:val="right"/>
      <w:pPr>
        <w:ind w:left="2149" w:hanging="180"/>
      </w:pPr>
    </w:lvl>
    <w:lvl w:ilvl="3" w:tplc="F6A0E0EA">
      <w:start w:val="1"/>
      <w:numFmt w:val="decimal"/>
      <w:lvlText w:val="%4."/>
      <w:lvlJc w:val="left"/>
      <w:pPr>
        <w:ind w:left="2869" w:hanging="360"/>
      </w:pPr>
    </w:lvl>
    <w:lvl w:ilvl="4" w:tplc="ED6C0276">
      <w:start w:val="1"/>
      <w:numFmt w:val="lowerLetter"/>
      <w:lvlText w:val="%5."/>
      <w:lvlJc w:val="left"/>
      <w:pPr>
        <w:ind w:left="3589" w:hanging="360"/>
      </w:pPr>
    </w:lvl>
    <w:lvl w:ilvl="5" w:tplc="AD02BCD4">
      <w:start w:val="1"/>
      <w:numFmt w:val="lowerRoman"/>
      <w:lvlText w:val="%6."/>
      <w:lvlJc w:val="right"/>
      <w:pPr>
        <w:ind w:left="4309" w:hanging="180"/>
      </w:pPr>
    </w:lvl>
    <w:lvl w:ilvl="6" w:tplc="AC2827AE">
      <w:start w:val="1"/>
      <w:numFmt w:val="decimal"/>
      <w:lvlText w:val="%7."/>
      <w:lvlJc w:val="left"/>
      <w:pPr>
        <w:ind w:left="5029" w:hanging="360"/>
      </w:pPr>
    </w:lvl>
    <w:lvl w:ilvl="7" w:tplc="AECC3DEE">
      <w:start w:val="1"/>
      <w:numFmt w:val="lowerLetter"/>
      <w:lvlText w:val="%8."/>
      <w:lvlJc w:val="left"/>
      <w:pPr>
        <w:ind w:left="5749" w:hanging="360"/>
      </w:pPr>
    </w:lvl>
    <w:lvl w:ilvl="8" w:tplc="1D02554A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42F91175"/>
    <w:multiLevelType w:val="hybridMultilevel"/>
    <w:tmpl w:val="D9620190"/>
    <w:lvl w:ilvl="0" w:tplc="2B384CA0">
      <w:start w:val="1"/>
      <w:numFmt w:val="decimal"/>
      <w:lvlText w:val="%1."/>
      <w:lvlJc w:val="left"/>
      <w:pPr>
        <w:ind w:left="709" w:hanging="360"/>
      </w:pPr>
    </w:lvl>
    <w:lvl w:ilvl="1" w:tplc="FBE8BA7E">
      <w:start w:val="1"/>
      <w:numFmt w:val="lowerLetter"/>
      <w:lvlText w:val="%2."/>
      <w:lvlJc w:val="left"/>
      <w:pPr>
        <w:ind w:left="1429" w:hanging="360"/>
      </w:pPr>
    </w:lvl>
    <w:lvl w:ilvl="2" w:tplc="295874F4">
      <w:start w:val="1"/>
      <w:numFmt w:val="lowerRoman"/>
      <w:lvlText w:val="%3."/>
      <w:lvlJc w:val="right"/>
      <w:pPr>
        <w:ind w:left="2149" w:hanging="180"/>
      </w:pPr>
    </w:lvl>
    <w:lvl w:ilvl="3" w:tplc="3DAC7702">
      <w:start w:val="1"/>
      <w:numFmt w:val="decimal"/>
      <w:lvlText w:val="%4."/>
      <w:lvlJc w:val="left"/>
      <w:pPr>
        <w:ind w:left="2869" w:hanging="360"/>
      </w:pPr>
    </w:lvl>
    <w:lvl w:ilvl="4" w:tplc="FE54A940">
      <w:start w:val="1"/>
      <w:numFmt w:val="lowerLetter"/>
      <w:lvlText w:val="%5."/>
      <w:lvlJc w:val="left"/>
      <w:pPr>
        <w:ind w:left="3589" w:hanging="360"/>
      </w:pPr>
    </w:lvl>
    <w:lvl w:ilvl="5" w:tplc="B17668A6">
      <w:start w:val="1"/>
      <w:numFmt w:val="lowerRoman"/>
      <w:lvlText w:val="%6."/>
      <w:lvlJc w:val="right"/>
      <w:pPr>
        <w:ind w:left="4309" w:hanging="180"/>
      </w:pPr>
    </w:lvl>
    <w:lvl w:ilvl="6" w:tplc="0016946C">
      <w:start w:val="1"/>
      <w:numFmt w:val="decimal"/>
      <w:lvlText w:val="%7."/>
      <w:lvlJc w:val="left"/>
      <w:pPr>
        <w:ind w:left="5029" w:hanging="360"/>
      </w:pPr>
    </w:lvl>
    <w:lvl w:ilvl="7" w:tplc="8438C89E">
      <w:start w:val="1"/>
      <w:numFmt w:val="lowerLetter"/>
      <w:lvlText w:val="%8."/>
      <w:lvlJc w:val="left"/>
      <w:pPr>
        <w:ind w:left="5749" w:hanging="360"/>
      </w:pPr>
    </w:lvl>
    <w:lvl w:ilvl="8" w:tplc="F35CD78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B48183F"/>
    <w:multiLevelType w:val="hybridMultilevel"/>
    <w:tmpl w:val="A2D08662"/>
    <w:lvl w:ilvl="0" w:tplc="F95AA6E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4B2CA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B6E94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366AF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2E95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7AA1F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B802A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A62B9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A3AAA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88050DC"/>
    <w:multiLevelType w:val="hybridMultilevel"/>
    <w:tmpl w:val="ADC616CA"/>
    <w:lvl w:ilvl="0" w:tplc="921A7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C107E">
      <w:start w:val="1"/>
      <w:numFmt w:val="lowerLetter"/>
      <w:lvlText w:val="%2."/>
      <w:lvlJc w:val="left"/>
      <w:pPr>
        <w:ind w:left="1440" w:hanging="360"/>
      </w:pPr>
    </w:lvl>
    <w:lvl w:ilvl="2" w:tplc="0936A696">
      <w:start w:val="1"/>
      <w:numFmt w:val="lowerRoman"/>
      <w:lvlText w:val="%3."/>
      <w:lvlJc w:val="right"/>
      <w:pPr>
        <w:ind w:left="2160" w:hanging="180"/>
      </w:pPr>
    </w:lvl>
    <w:lvl w:ilvl="3" w:tplc="3F540220">
      <w:start w:val="1"/>
      <w:numFmt w:val="decimal"/>
      <w:lvlText w:val="%4."/>
      <w:lvlJc w:val="left"/>
      <w:pPr>
        <w:ind w:left="2880" w:hanging="360"/>
      </w:pPr>
    </w:lvl>
    <w:lvl w:ilvl="4" w:tplc="DB24A0AC">
      <w:start w:val="1"/>
      <w:numFmt w:val="lowerLetter"/>
      <w:lvlText w:val="%5."/>
      <w:lvlJc w:val="left"/>
      <w:pPr>
        <w:ind w:left="3600" w:hanging="360"/>
      </w:pPr>
    </w:lvl>
    <w:lvl w:ilvl="5" w:tplc="53D464CC">
      <w:start w:val="1"/>
      <w:numFmt w:val="lowerRoman"/>
      <w:lvlText w:val="%6."/>
      <w:lvlJc w:val="right"/>
      <w:pPr>
        <w:ind w:left="4320" w:hanging="180"/>
      </w:pPr>
    </w:lvl>
    <w:lvl w:ilvl="6" w:tplc="7098D156">
      <w:start w:val="1"/>
      <w:numFmt w:val="decimal"/>
      <w:lvlText w:val="%7."/>
      <w:lvlJc w:val="left"/>
      <w:pPr>
        <w:ind w:left="5040" w:hanging="360"/>
      </w:pPr>
    </w:lvl>
    <w:lvl w:ilvl="7" w:tplc="7F568382">
      <w:start w:val="1"/>
      <w:numFmt w:val="lowerLetter"/>
      <w:lvlText w:val="%8."/>
      <w:lvlJc w:val="left"/>
      <w:pPr>
        <w:ind w:left="5760" w:hanging="360"/>
      </w:pPr>
    </w:lvl>
    <w:lvl w:ilvl="8" w:tplc="7068DB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46"/>
    <w:rsid w:val="00237046"/>
    <w:rsid w:val="008D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6493"/>
  <w15:docId w15:val="{B86E074E-DD2F-4F2F-8F38-29793D57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link w:val="af7"/>
    <w:uiPriority w:val="34"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3">
    <w:name w:val="Текст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/>
      <w:szCs w:val="21"/>
    </w:rPr>
  </w:style>
  <w:style w:type="table" w:customStyle="1" w:styleId="14">
    <w:name w:val="Сетка таблицы1"/>
    <w:basedOn w:val="GridTable3-Accent1"/>
    <w:next w:val="GridTable4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paragraph" w:styleId="afb">
    <w:name w:val="Balloon Text"/>
    <w:basedOn w:val="a"/>
    <w:link w:val="afc"/>
    <w:uiPriority w:val="99"/>
    <w:semiHidden/>
    <w:unhideWhenUsed/>
    <w:rsid w:val="008D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D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3575</Words>
  <Characters>20383</Characters>
  <Application>Microsoft Office Word</Application>
  <DocSecurity>0</DocSecurity>
  <Lines>169</Lines>
  <Paragraphs>47</Paragraphs>
  <ScaleCrop>false</ScaleCrop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Владислав Сергеевич</dc:creator>
  <cp:keywords/>
  <dc:description/>
  <cp:lastModifiedBy>Ниязова Гузэль Исламовна</cp:lastModifiedBy>
  <cp:revision>6</cp:revision>
  <cp:lastPrinted>2025-12-23T05:17:00Z</cp:lastPrinted>
  <dcterms:created xsi:type="dcterms:W3CDTF">2025-12-18T05:08:00Z</dcterms:created>
  <dcterms:modified xsi:type="dcterms:W3CDTF">2025-12-23T05:18:00Z</dcterms:modified>
</cp:coreProperties>
</file>