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firstLine="0"/>
        <w:jc w:val="right"/>
        <w:spacing w:before="0" w:after="0" w:line="240" w:lineRule="auto"/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УТВЕРЖДЕН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протоколом заседания Комиссии</w:t>
      </w:r>
      <w:r/>
    </w:p>
    <w:p>
      <w:pPr>
        <w:contextualSpacing w:val="0"/>
        <w:ind w:firstLine="0"/>
        <w:jc w:val="right"/>
        <w:spacing w:before="0" w:after="0" w:line="240" w:lineRule="auto"/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 работе с соотечественниками за рубежом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ind w:firstLine="0"/>
        <w:jc w:val="right"/>
        <w:spacing w:before="0" w:after="0" w:line="240" w:lineRule="auto"/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 Правительстве Ханты-Мансийского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contextualSpacing w:val="0"/>
        <w:ind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автономного округа – Югры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contextualSpacing w:val="0"/>
        <w:ind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suppressLineNumbers w:val="0"/>
      </w:pP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от 20 декабря 2023 года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сотрудниче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ству исполнительных органов Ханты-Мансийского </w:t>
        <w:br/>
        <w:t xml:space="preserve">автономного округа – Югры, органов местного самоуправления, предприятий и организаций </w:t>
        <w:br/>
        <w:t xml:space="preserve">Ханты-Мансийского автономного округа – Югры с соотечественниками, </w:t>
        <w:br/>
        <w:t xml:space="preserve">проживающими за рубежом, и их организациями на 2024 год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52"/>
        <w:gridCol w:w="1568"/>
        <w:gridCol w:w="5810"/>
        <w:gridCol w:w="354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1568" w:type="dxa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</w:t>
            </w:r>
            <w:r/>
          </w:p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«Фольклор салымских хантов»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Нефтеюганского района «Межпоселенческая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XXIII Сретенские образовательные чтения </w:t>
              <w:br/>
              <w:t xml:space="preserve">в онлайн формате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color w:val="00000a"/>
                <w:sz w:val="24"/>
                <w:szCs w:val="24"/>
                <w:lang w:eastAsia="en-US"/>
              </w:rPr>
              <w:t xml:space="preserve">Открытый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 литературный конкурс «Когда звучит в тебе русское слово» в онлайн формате</w:t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февраля </w:t>
              <w:br/>
              <w:t xml:space="preserve">по май </w:t>
              <w:br/>
              <w:t xml:space="preserve">2024 года</w:t>
            </w:r>
            <w:r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Arial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«Межпоселенческая библиотека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дискуссионного клуба «Евразийское объединение </w:t>
              <w:br/>
              <w:t xml:space="preserve">женщин-региональных лидеров» в ходе Всероссийского женского форума Совета Евразийского женского форума, Международной </w:t>
              <w:br/>
              <w:t xml:space="preserve">выставки-форума «Россия» (ВДНХ, г. Москва) </w:t>
              <w:br/>
              <w:t xml:space="preserve">при поддержке Совета Федерации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5 по 6 марта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ртамент молодежной политики, гражданских инициатив и внешних связей Ханты-Мансийского автономного округа – Югры, Департамент внутренней политики Ханты-Мансийского автономного округа – Югры,  Фонд </w:t>
              <w:br/>
              <w:t xml:space="preserve">«Центр гражданских и социальных инициатив Югры» </w:t>
              <w:br/>
              <w:t xml:space="preserve">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ованию), Фонд общественной дипломатии «Евразийское объединение женщин – региональных лидеров»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Правительства </w:t>
              <w:br/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областная </w:t>
              <w:br/>
              <w:t xml:space="preserve">научно-практическая конференция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Белоярского района,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Международный нефтяной академический конгресс им. Ф.К. Салманова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113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лизация плана мероприятий совместно </w:t>
              <w:br/>
              <w:t xml:space="preserve">с Коммунальным государственным учреждением </w:t>
              <w:br/>
              <w:t xml:space="preserve">«Северо-Казахстанская областная детско-юношеская библиотека имени Габита Мусрепова Управления культуры, развития языков </w:t>
              <w:br/>
              <w:t xml:space="preserve">и архивного дела Акимата Северо-Казахстанской области»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113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марта </w:t>
              <w:br/>
              <w:t xml:space="preserve">по ноябрь 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Нефтеюганска, муниципальное бюджетное учреждение культуры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семинара «Актуальные проблемы </w:t>
              <w:br/>
              <w:t xml:space="preserve">и перспективы развития социального проектирования «От идеи до проекта»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II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Лангепаса,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Лангепасское городское муниципальное учреждение  «Центр по работе с детьми и молодежью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  государственной национальной политики и профилактики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открытка </w:t>
              <w:br/>
              <w:t xml:space="preserve">к 30-летию библиотечной системы Нефтеюганского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Нефтеюганского района «Межпоселенческая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рамках текущего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Онлайн концерт «Мост дружбы» в режиме телемоста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II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городская общественная организация татар «Культурно-просветительское общество «Ватан»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Онлайн конкурс чтецов стихотворений </w:t>
              <w:br/>
              <w:t xml:space="preserve">«Язык мой – друг 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II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местная общественная организация «Содружество народов Югры»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Мероприятия, посвящённые празднованию 250-летия Государственного академического Большого театра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апрель, май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 города Нягани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действий, приуроченный </w:t>
              <w:br/>
              <w:t xml:space="preserve">ко Дню единения народов Республики Беларусь </w:t>
              <w:br/>
              <w:t xml:space="preserve">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Сургута, муниципальное автономное образовательное учреждение дополнительного образования «Центр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I Международный фестиваль-конкурс детского, юношеского  и взрослого творчества «ASTANA FEST» г.Астана Республики Казахстан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период </w:t>
              <w:br/>
              <w:t xml:space="preserve">с 27 по 28 апреля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 города Нягани,</w:t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муниципальное автономное учреждение культуры города Нягани «Городской культурный центр «Планета»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бюджет администрации города Нягани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представителей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бюджетного учреждения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совместных исследованиях </w:t>
              <w:br/>
              <w:t xml:space="preserve">(г. Астана, Республика Казахстан)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 </w:t>
              <w:br/>
              <w:t xml:space="preserve">30 апреля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</w:t>
              <w:br/>
              <w:t xml:space="preserve">Ханты-Мансийского автономного округа – Югры, бюджетное учреждение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бюджетного учреждения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VI международный </w:t>
              <w:br/>
              <w:t xml:space="preserve">конкурс-фестиваль «Славянское Сваяцтва» г.Минск,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период </w:t>
              <w:br/>
              <w:t xml:space="preserve">с 1 по 4 мая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 города Нягани,</w:t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муниципальное автономное учреждение культуры города Нягани «Городской культурный центр «Планета»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бюджет Администрации города Нягани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Концерт ко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май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 города Нягани,</w:t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Муниципальное автономное образовательное учреждение культуры дополнительного образования города Нягани «Детская школа искусств»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Открытый городской конкурс творческих работ </w:t>
              <w:br/>
              <w:t xml:space="preserve">«И первым было слово…», приуроченный к Дню славянской письменности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май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Нефтеюганска,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им. В.В. Андреева»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Городской хоровой фестиваль, посвященный Дню славянской письменност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и культуры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май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Нефтеюганска,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мероприятий Международного патриотического проекта «Север для Победы. Каждый для дела Мира», проведение Международной медиаэкспедиции «Победа </w:t>
              <w:br/>
              <w:t xml:space="preserve">в наших сердцах» </w:t>
              <w:br/>
              <w:t xml:space="preserve">в Монголию, Китайскую Народную Республику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мая </w:t>
              <w:br/>
              <w:t xml:space="preserve">по сентябрь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политики, гражданских инициатив и внешних связей Ханты-Мансийского автономного округа – Югры, </w:t>
              <w:br/>
              <w:t xml:space="preserve">Департамент образования и науки </w:t>
              <w:br/>
              <w:t xml:space="preserve">Ханты-Мансийского автономного 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внутренней политики </w:t>
              <w:br/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Югры, 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гражданских и социальных инициатив Югры»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– Югры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Мероприятия, приуроченные Пушкинскому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июнь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 города Нягани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Содействие участию представителей соотечественников в II</w:t>
              <w:br/>
              <w:t xml:space="preserve">Межнациональном  турнире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июнь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региональная общественная  организация </w:t>
              <w:br/>
              <w:t xml:space="preserve">Ханты-Мансийского автономного округа – Югры «Центр объединения  народов Азербайджана «Факел»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</w:t>
              <w:br/>
              <w:t xml:space="preserve">культурно-образовательной поездки </w:t>
              <w:br/>
              <w:t xml:space="preserve">в Ханты-Мансийский автономный округ – Югру для молодых соотечественников по программе «Здравствуй,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июня </w:t>
              <w:br/>
              <w:t xml:space="preserve">по сентябрь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Департамент молодежной политики, гражданских инициатив и внешних связей Ханты-Мансийского автономного округа – Югры, Департамент образования и науки Ханты-Мансийского автономного округа – Югры, Департамент культуры Ханты-Мансийского автономного округа – Юг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ы, Департамент экономического развития </w:t>
              <w:br/>
              <w:t xml:space="preserve">Ханты-Мансийского автономного округа – Югры, Департамент промышленности Ханты-Мансийского автономного округа – Югры, Департамент физической культуры и спорта Ханты-Мансийского автономного округа – Югры, Департамент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нутренней политики Ханты-Мансийского автономного округа – Югры, Фонд «Центр гражданских и социальных инициатив Югры»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– Югры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Программа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июня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сентябрь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политики, гражданских инициатив и внешних связей Ханты-Мансийского автономного округа – Югры, Департамент информационных технологий и цифрового развития Ханты-Мансийского автономного округа – Югры, Департамент образования и науки </w:t>
              <w:br/>
              <w:t xml:space="preserve">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– Югры, Департамент физической культуры и спорта </w:t>
              <w:br/>
              <w:t xml:space="preserve">Ханты-Мансийского автономного округа – Югры, Департамент экономического развития </w:t>
              <w:br/>
              <w:t xml:space="preserve">Ханты-Мансийского автономного округа – Югры,  Департамент внутренней политики </w:t>
              <w:br/>
              <w:t xml:space="preserve">Ханты-Мансийского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  <w:br/>
              <w:t xml:space="preserve">Ханты-Мансийского автономного округа – Югры «Окружная телерадиокомпания «Югра» </w:t>
              <w:br/>
              <w:t xml:space="preserve"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гражданских и социальных инициатив Югры»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– Югры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left"/>
              <w:spacing w:before="0" w:after="153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153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«Послушай сказку»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153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153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Нефтеюганского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153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Виртуальная выставка рисунков «В единстве наша сила»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III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Лангепаса,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образовательные учреждения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полевой симпозиум «Западносибирские торфяники и цикл углерода: «Прошлое и настоящее»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  <w:br/>
              <w:t xml:space="preserve">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pStyle w:val="855"/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Конкурс-фестиваль художественного чтения «Синяя птица» в режиме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pStyle w:val="855"/>
              <w:contextualSpacing w:val="0"/>
              <w:ind w:left="0" w:firstLine="0"/>
              <w:jc w:val="center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в период </w:t>
              <w:br/>
              <w:t xml:space="preserve">с сентября по декабрь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«Межпоселенческая библиотека Советского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pStyle w:val="855"/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Заседание дискуссионного клуба «Евразийское объединение </w:t>
              <w:br/>
              <w:t xml:space="preserve">женщин-региональных лидеров» на площадке Совета Евразийского женского форума при Совете Федерации Федерального Собрания Российской Федерации в г. </w:t>
              <w:br/>
              <w:t xml:space="preserve">Санкт-Петербурге</w:t>
            </w:r>
            <w:r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eastAsia="Arial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pStyle w:val="855"/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  <w:t xml:space="preserve">в период </w:t>
              <w:br/>
              <w:t xml:space="preserve">10 по 15 сентября 2024 года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ртамент молодежной политики, гражданских инициатив и внешних связей Ханты-Мансийского автономного округа – Югры, Департамент внутренней политики Ханты-Мансийского автономного округа – Югры,  Фонд </w:t>
              <w:br/>
              <w:t xml:space="preserve">«Центр гражданских и социальных инициатив Югры» </w:t>
              <w:br/>
              <w:t xml:space="preserve">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ованию), Фонд общественной дипломатии «Евразийское объединение женщин – региональных лидеров»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Правительства </w:t>
              <w:br/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XI Общее собрание-выставка Российско -Кыргызского консорциума технических университетов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сентябрь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Медиа-конкурс </w:t>
              <w:br/>
              <w:t xml:space="preserve">«Герой своего времени» </w:t>
              <w:br/>
              <w:t xml:space="preserve">по творчеству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Нефтеюганского района «Межпоселенческая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Виртуальный пресс-тур </w:t>
              <w:br/>
              <w:t xml:space="preserve">по Лангепасу для соотечественников </w:t>
              <w:br/>
              <w:t xml:space="preserve">(цикл видеороликов)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IV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  <w:br/>
              <w:t xml:space="preserve">научно-практическая конференция «Стратегические направления противодействия преступности на национальном и транснациональном уровне памяти профессора </w:t>
              <w:br/>
              <w:t xml:space="preserve">С.А. Черноморца», конкурс научных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идеологии экстремизма и терроризма, конкурс научных работ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вуза, грант Российского научного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tabs>
                <w:tab w:val="right" w:pos="3036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«V Международная </w:t>
              <w:br/>
              <w:t xml:space="preserve">научно-практическая конференция «Перспективы развития современного образования»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tabs>
                <w:tab w:val="right" w:pos="3036" w:leader="none"/>
              </w:tabs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представителей соотечественников </w:t>
              <w:br/>
              <w:t xml:space="preserve">в XIX Международном турнире по вольной борьбе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Нефтеюганского района, бюджетное учреждение Нефтеюганского района «Центр спорта </w:t>
              <w:br/>
              <w:t xml:space="preserve">и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действий, приуроченный к Дню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Администрации города Сургута, муниципальное автономное образовательное учреждение дополнительного образования </w:t>
              <w:br/>
              <w:t xml:space="preserve">«Центр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shd w:val="clear" w:color="auto" w:fill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представителей Сургутского государственного университета в международной конференции «International Conference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&amp; EXPO </w:t>
              <w:br/>
              <w:t xml:space="preserve">of FFC- 19th International Symposium of ASFFBC (Республика Армения)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hd w:val="clear" w:color="auto" w:fill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 </w:t>
              <w:br/>
              <w:t xml:space="preserve">30 октября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hd w:val="clear" w:color="auto" w:fill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</w:t>
              <w:br/>
              <w:t xml:space="preserve">Ханты-Мансийского автономного округа – Югры, бюджетное учреждение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бюджетного учреждения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представителей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бюджетного учреждения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  <w:br/>
              <w:t xml:space="preserve">в 8 Международной научной конференции «Межкультурная коммуникация и </w:t>
              <w:br/>
              <w:t xml:space="preserve">профессионально-ориентированное обучение иностранным языкам» </w:t>
              <w:br/>
              <w:t xml:space="preserve">(г. Минск, Республика Беларусь)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 </w:t>
              <w:br/>
              <w:t xml:space="preserve">30 октября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</w:t>
              <w:br/>
              <w:t xml:space="preserve">Ханты-Мансийского автономного округа – Югры, бюджетное учреждение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V Международный конкурс профессионального мастерства «Содружество молодых педагогов»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период </w:t>
              <w:br/>
              <w:t xml:space="preserve">с ноября </w:t>
              <w:br/>
              <w:t xml:space="preserve">по 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Нижневартовска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  <w:br/>
              <w:t xml:space="preserve">научно-практическая конференция «Искусственный интеллект </w:t>
              <w:br/>
              <w:t xml:space="preserve">и роботизированные системы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  <w:br/>
              <w:t xml:space="preserve">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Международная </w:t>
              <w:br/>
              <w:t xml:space="preserve">научно-практическая конференция «культура, наука, образование: проблемы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ноябрь </w:t>
              <w:br/>
              <w:t xml:space="preserve">2024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Форум «Все СВОИ»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города Нефтеюганска,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МАУ «Центр молодежных инициатив»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патриотический форум «Катюша» при поддержке Совета Евразийского женского форума при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21 по 22 ноября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епартамент молодежной политики, гражданских инициатив и внешних связей Ханты-Мансийского автономного округа – Югры, Департамента социального развития Ханты-Мансийского автономного округа – Югры, Департамент экономического развития Ханты-Мансийского автоном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го округа – Югры, Департамент информационных технологий и цифрового развития Ханты-Мансийского автономного округа – Югры, Департамент внутренней политики </w:t>
              <w:br/>
              <w:t xml:space="preserve">Ханты-Мансийского автономного округа – Югры, Департамент здравоохранения Ханты-Мансийского автономног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 округа – Югры, Департамент культуры Ханты-Мансийского автономного округа – Югры, Департамент образования и науки </w:t>
              <w:br/>
              <w:t xml:space="preserve">Ханты-Мансийского автономного округа – Югры,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тамент внутренней политики </w:t>
              <w:br/>
              <w:t xml:space="preserve">Ханты-Мансийского автономного округа – Югры,   Фонд «Центр гражданских и социальных инициатив Югры» (по согласованию), органы местного самоуправления муниципальных образований </w:t>
              <w:br/>
              <w:t xml:space="preserve">Ханты-Мансийского автономного округа – Югры </w:t>
              <w:br/>
              <w:t xml:space="preserve">(по со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Правительства </w:t>
              <w:br/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стажировочны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мероприятий для соотечественников, проживающих за рубежом, знакомство с некоммерческим сектором Ханты-Мансийского автономного округа – Югры, стажировка в Фонде «Центр гражданских и социальных инициатив Югры»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  <w:br/>
              <w:t xml:space="preserve">1 декабря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гражданских и социальных инициатив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Фонда «Центр гражданских и социальных инициатив Югры»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муниципальный этап 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образовательных Рождественских Чтений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  <w:br/>
              <w:t xml:space="preserve">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Белоярского района, Белоярское благочиние Югорской Епархии Русской Православной Церкви,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в сфере образования Белоярского района «Белоярский 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Белоярского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товарищеского, шахматного турнира с обучающимися международной школы </w:t>
              <w:br/>
              <w:t xml:space="preserve">г. Ташкента Республики Узбекистан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тдел оценки качества и общего образования Управления образования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  <w:t xml:space="preserve"> Администрации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проектный семинар «Финно-угорский вектор к креативной экономике», конкурс студенческих, школьных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  <w:br/>
              <w:t xml:space="preserve">научно-практическая конференция </w:t>
              <w:br/>
              <w:t xml:space="preserve">«Стратегии межкультурной коммуникации </w:t>
              <w:br/>
              <w:t xml:space="preserve">в современном мире: язык, образование, культура»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  <w:br/>
              <w:t xml:space="preserve">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проекта «Неделя русского языка» </w:t>
              <w:br/>
              <w:t xml:space="preserve">в зарубежных государствах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политики, гражданских инициатив и внешних связей Ханты-Мансийского автономного округа – Югры, </w:t>
              <w:br/>
              <w:t xml:space="preserve">Департамент образования и науки </w:t>
              <w:br/>
              <w:t xml:space="preserve">Ханты-Мансийского автономного 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внутренней политики </w:t>
              <w:br/>
              <w:t xml:space="preserve">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руга – Югры,  бюджетное учреждение высшего образования Ханты-Мансийского автономного </w:t>
              <w:br/>
              <w:t xml:space="preserve">округа – Югры «Сургутский государственный педагогический университет» (по согласованию), федеральное государственное бюджетное образовательное учреждение высшего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«Югорский государственный университет» </w:t>
              <w:br/>
              <w:t xml:space="preserve">(по согласованию), бюджетное учреждение высшего образования Ханты-Мансийского автономного округа – Югры «Сургутский государственный университет» (по согласованию), федеральное государственное бюджетное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высшего образования «Нижневартовский государственный университет» (по согласованию), бюджетное учреждение высшего образования </w:t>
              <w:br/>
              <w:t xml:space="preserve">Ханты-Мансийского автономного округа – Югра «Ханты-Мансийская государственная медицинская академия»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бюджетное учреждение </w:t>
              <w:br/>
              <w:t xml:space="preserve">Ханты-Мансийского автономного округа – Югры </w:t>
              <w:br/>
              <w:t xml:space="preserve">«Обско-угорский институт прикладных исследований и разработок»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гражданских и социальных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инициатив Югры» 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– Югры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представителей Сургутского государственного университета выставке для специалистов нефтегазового сектора каспийского региона KIOGE (г. Алматы, Республика Казахстан)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срок до </w:t>
              <w:br/>
              <w:t xml:space="preserve">30 декабря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образования и науки </w:t>
              <w:br/>
              <w:t xml:space="preserve">Ханты-Мансийского автономного округа – Югры, бюджетное учреждение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бюджетного учреждения высшего образования </w:t>
              <w:br/>
              <w:t xml:space="preserve">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3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</w:t>
              <w:br/>
              <w:t xml:space="preserve">онлайн-презентации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«Нижневартовский государственный университет»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в странах СНГ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Сетевая форма реализации образовательной программы,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Нарынский государственный университет, направление подготовки «Педагогическое образование», (профиль:</w:t>
              <w:br/>
              <w:t xml:space="preserve"> начальное образование)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2024 года</w:t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Реализация совместной образовательной программы с Ошским технологическим университетом университетом (Кыргызская Республика), направление подготовки «Электроэнергетика </w:t>
              <w:br/>
              <w:t xml:space="preserve">и электротехника»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2024 года</w:t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Реализация совместной образовательной программы с Нарынским государственным университетом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Кыргызская Республика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), направление подготовки «Электроэнергетика </w:t>
              <w:br/>
              <w:t xml:space="preserve">и электротехника»</w:t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внебюджетные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Проведение презентации образовательного потенциала </w:t>
              <w:br/>
              <w:t xml:space="preserve">Ханты-Мансийского автономного округа – Югры в странах СНГ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 труда и занятости Ханты-Мансийского автономного округа – Югры, Департамент молодежной политики, гражданских инициатив </w:t>
              <w:br/>
              <w:t xml:space="preserve">и внешних связей Ханты-Мансийского автономного округа – Югры, Департамент образования и науки Ханты-Мансийского автономного 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круга – Югры,</w:t>
              <w:br/>
              <w:t xml:space="preserve">Департамент внутренней политики </w:t>
              <w:br/>
              <w:t xml:space="preserve">Ханты-Мансийского автономного </w:t>
              <w:br/>
              <w:t xml:space="preserve">округа – Югры,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Фонд «Центр гражданских </w:t>
              <w:br/>
              <w:t xml:space="preserve">и социальных инициатив Югры» 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  <w:br/>
              <w:t xml:space="preserve">в мероприятиях по линии Россотрудничества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соотечественников к обучению в университете. Участие университета в образовательных выставках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</w:t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библиотечный проект «Белый город – Белая Русь: «Литературный транзит»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Белоярского района «Белоярская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</w:t>
              <w:br/>
              <w:t xml:space="preserve"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60"/>
              <w:numPr>
                <w:ilvl w:val="0"/>
                <w:numId w:val="4"/>
              </w:numPr>
              <w:contextualSpacing w:val="0"/>
              <w:ind w:left="0" w:firstLine="0"/>
              <w:jc w:val="center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252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Сторон </w:t>
              <w:br/>
              <w:t xml:space="preserve">в рамках действующих международных Соглашений между муниципальным образованием Белоярский район Ханты-Мансийского автономного округа – Югры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  <w:br/>
              <w:t xml:space="preserve">и городом Витебском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1568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  <w:br/>
              <w:t xml:space="preserve">с 2023 </w:t>
              <w:br/>
              <w:t xml:space="preserve">по 2026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5810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  <w:br/>
              <w:t xml:space="preserve">в сфере образования Белоярского района «Белоярский 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 w:themeFill="background1"/>
            <w:tcW w:w="3543" w:type="dxa"/>
            <w:vMerge w:val="restart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spacing w:before="0" w:after="0" w:line="240" w:lineRule="auto"/>
              <w:shd w:val="clear" w:color="auto" w:fill="ffffff" w:themeFill="background1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567" w:right="1134" w:bottom="567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fldSimple w:instr="PAGE \* MERGEFORMAT">
      <w:r>
        <w:t xml:space="preserve">1</w:t>
      </w:r>
    </w:fldSimple>
    <w:r/>
    <w:r/>
  </w:p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5"/>
    <w:next w:val="855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5"/>
    <w:next w:val="855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5"/>
    <w:next w:val="855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5"/>
    <w:next w:val="855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862"/>
    <w:uiPriority w:val="99"/>
  </w:style>
  <w:style w:type="paragraph" w:styleId="708">
    <w:name w:val="Footer"/>
    <w:basedOn w:val="855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basedOn w:val="856"/>
    <w:link w:val="708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table" w:styleId="859">
    <w:name w:val="Table Grid"/>
    <w:basedOn w:val="8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0">
    <w:name w:val="List Paragraph"/>
    <w:basedOn w:val="855"/>
    <w:link w:val="861"/>
    <w:uiPriority w:val="34"/>
    <w:qFormat/>
    <w:pPr>
      <w:contextualSpacing/>
      <w:ind w:left="720"/>
    </w:pPr>
  </w:style>
  <w:style w:type="character" w:styleId="861" w:customStyle="1">
    <w:name w:val="Абзац списка Знак"/>
    <w:link w:val="860"/>
    <w:uiPriority w:val="34"/>
  </w:style>
  <w:style w:type="paragraph" w:styleId="862">
    <w:name w:val="Header"/>
    <w:basedOn w:val="855"/>
    <w:link w:val="86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3" w:customStyle="1">
    <w:name w:val="Верхний колонтитул Знак"/>
    <w:basedOn w:val="856"/>
    <w:link w:val="86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4" w:customStyle="1">
    <w:name w:val="fontstyle01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Владислав Сергеевич</dc:creator>
  <cp:keywords/>
  <dc:description/>
  <cp:revision>14</cp:revision>
  <dcterms:created xsi:type="dcterms:W3CDTF">2022-12-23T04:55:00Z</dcterms:created>
  <dcterms:modified xsi:type="dcterms:W3CDTF">2023-12-29T07:55:15Z</dcterms:modified>
</cp:coreProperties>
</file>