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D0CFE" w14:textId="77777777" w:rsidR="00A8559A" w:rsidRPr="00600195" w:rsidRDefault="00A8559A" w:rsidP="00A8559A">
      <w:pPr>
        <w:pStyle w:val="a3"/>
        <w:jc w:val="center"/>
        <w:rPr>
          <w:b/>
          <w:bCs/>
          <w:sz w:val="26"/>
          <w:szCs w:val="26"/>
        </w:rPr>
      </w:pPr>
      <w:r w:rsidRPr="00600195">
        <w:rPr>
          <w:b/>
          <w:bCs/>
          <w:sz w:val="26"/>
          <w:szCs w:val="26"/>
        </w:rPr>
        <w:t>ДОКЛАД</w:t>
      </w:r>
    </w:p>
    <w:p w14:paraId="51F83720" w14:textId="77777777" w:rsidR="00A8559A" w:rsidRPr="00600195" w:rsidRDefault="00A8559A" w:rsidP="00A8559A">
      <w:pPr>
        <w:pStyle w:val="a3"/>
        <w:jc w:val="both"/>
        <w:rPr>
          <w:b/>
          <w:bCs/>
          <w:sz w:val="26"/>
          <w:szCs w:val="26"/>
        </w:rPr>
      </w:pPr>
      <w:r w:rsidRPr="00600195">
        <w:rPr>
          <w:b/>
          <w:bCs/>
          <w:sz w:val="26"/>
          <w:szCs w:val="26"/>
        </w:rPr>
        <w:t>по вопросу рассмотрения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органов местного самоуправления муниципального образования, муниципальных организаций и их должностных лиц в целях выработки и принятия мер по предупреждению и устранению причин выявленных нарушений</w:t>
      </w:r>
    </w:p>
    <w:p w14:paraId="3A67B213" w14:textId="77777777" w:rsidR="00A8559A" w:rsidRPr="00600195" w:rsidRDefault="00A8559A" w:rsidP="00A8559A">
      <w:pPr>
        <w:pStyle w:val="a3"/>
        <w:jc w:val="both"/>
        <w:rPr>
          <w:sz w:val="26"/>
          <w:szCs w:val="26"/>
        </w:rPr>
      </w:pPr>
    </w:p>
    <w:p w14:paraId="6776D18B" w14:textId="77777777" w:rsidR="00A005F9" w:rsidRPr="00A005F9" w:rsidRDefault="00A005F9" w:rsidP="00A005F9">
      <w:pPr>
        <w:pStyle w:val="a3"/>
        <w:ind w:firstLine="708"/>
        <w:jc w:val="both"/>
        <w:rPr>
          <w:sz w:val="26"/>
          <w:szCs w:val="26"/>
        </w:rPr>
      </w:pPr>
      <w:r w:rsidRPr="00A005F9">
        <w:rPr>
          <w:sz w:val="26"/>
          <w:szCs w:val="26"/>
        </w:rPr>
        <w:t>В соответствии с пунктом 2.1 статьи 6 Федерального закона от 25.12.2008   № 273-ФЗ «О противодействии коррупции» профилактика коррупции осуществляется путем рассмотрения в органах местного самоуправления, наделенных федеральным законом отдельными государственными или иными публичными полномочиями, не реже одного раза в квартал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 и их должностных лиц в целях выработки и принятия мер по предупреждению и устранению причин выявленных нарушений.</w:t>
      </w:r>
    </w:p>
    <w:p w14:paraId="54519D6F" w14:textId="77777777" w:rsidR="00A005F9" w:rsidRPr="00A005F9" w:rsidRDefault="00A005F9" w:rsidP="00A005F9">
      <w:pPr>
        <w:pStyle w:val="a3"/>
        <w:ind w:firstLine="708"/>
        <w:jc w:val="both"/>
        <w:rPr>
          <w:sz w:val="26"/>
          <w:szCs w:val="26"/>
        </w:rPr>
      </w:pPr>
      <w:r w:rsidRPr="00A005F9">
        <w:rPr>
          <w:sz w:val="26"/>
          <w:szCs w:val="26"/>
        </w:rPr>
        <w:t>Руководствуясь пунктом 2.4. Порядка рассмотрения вопросов правоприменительной практики по результатам вступивших в законную силу решений судов о признании недействительными ненормативных правовых актов, незаконными решений и действий (бездействия) органов местного самоуправления Нефтеюганского района и их должностных лиц, утвержденного постановлением администрации Нефтеюганского района от 08.12.2021 № 2169-па, п. 2.1 Плана противодействия коррупции в Нефтеюганском районе на 2025-2029 годы, утвержденного постановлением Главы Нефтеюганского района от 19.12.2024 № 65-пг сообщаем, что в 1 квартале 2025 года информация о признании недействительными ненормативных правовых актов, незаконными решений и действий (бездействия) органов местного самоуправления Нефтеюганского района и их должностных лиц не поступала.</w:t>
      </w:r>
    </w:p>
    <w:p w14:paraId="4CB2F593" w14:textId="309F3D01" w:rsidR="00A8559A" w:rsidRDefault="00A8559A" w:rsidP="00A005F9">
      <w:pPr>
        <w:pStyle w:val="a3"/>
        <w:ind w:firstLine="708"/>
        <w:jc w:val="both"/>
        <w:rPr>
          <w:sz w:val="26"/>
          <w:szCs w:val="26"/>
        </w:rPr>
      </w:pPr>
      <w:r w:rsidRPr="00600195">
        <w:rPr>
          <w:sz w:val="26"/>
          <w:szCs w:val="26"/>
        </w:rPr>
        <w:t xml:space="preserve">Ввиду отсутствия вступивших в законную силу в </w:t>
      </w:r>
      <w:r w:rsidR="0081390E">
        <w:rPr>
          <w:sz w:val="26"/>
          <w:szCs w:val="26"/>
        </w:rPr>
        <w:t>1</w:t>
      </w:r>
      <w:r w:rsidRPr="00600195">
        <w:rPr>
          <w:sz w:val="26"/>
          <w:szCs w:val="26"/>
        </w:rPr>
        <w:t xml:space="preserve"> квартале 202</w:t>
      </w:r>
      <w:r w:rsidR="00A005F9">
        <w:rPr>
          <w:sz w:val="26"/>
          <w:szCs w:val="26"/>
        </w:rPr>
        <w:t>5</w:t>
      </w:r>
      <w:r w:rsidRPr="00600195">
        <w:rPr>
          <w:sz w:val="26"/>
          <w:szCs w:val="26"/>
        </w:rPr>
        <w:t xml:space="preserve"> года решений судов, арбитражных судов о признании недействительными ненормативных правовых актов, незаконными решений и действий (бездействия) органов местного самоуправления Нефтеюганского района, </w:t>
      </w:r>
      <w:r w:rsidR="00A51326" w:rsidRPr="00600195">
        <w:rPr>
          <w:sz w:val="26"/>
          <w:szCs w:val="26"/>
        </w:rPr>
        <w:t xml:space="preserve">приведена </w:t>
      </w:r>
      <w:r w:rsidRPr="00600195">
        <w:rPr>
          <w:sz w:val="26"/>
          <w:szCs w:val="26"/>
        </w:rPr>
        <w:t>правоприменительн</w:t>
      </w:r>
      <w:r w:rsidR="00A51326" w:rsidRPr="00600195">
        <w:rPr>
          <w:sz w:val="26"/>
          <w:szCs w:val="26"/>
        </w:rPr>
        <w:t>ая</w:t>
      </w:r>
      <w:r w:rsidRPr="00600195">
        <w:rPr>
          <w:sz w:val="26"/>
          <w:szCs w:val="26"/>
        </w:rPr>
        <w:t xml:space="preserve"> практик</w:t>
      </w:r>
      <w:r w:rsidR="00A51326" w:rsidRPr="00600195">
        <w:rPr>
          <w:sz w:val="26"/>
          <w:szCs w:val="26"/>
        </w:rPr>
        <w:t>а</w:t>
      </w:r>
      <w:r w:rsidRPr="00600195">
        <w:rPr>
          <w:sz w:val="26"/>
          <w:szCs w:val="26"/>
        </w:rPr>
        <w:t xml:space="preserve"> других муниципальных образований, на примере следующего судебного акта.</w:t>
      </w:r>
    </w:p>
    <w:p w14:paraId="1D093AD2" w14:textId="6B90C375" w:rsidR="00992F9B" w:rsidRPr="00992F9B" w:rsidRDefault="0058635F" w:rsidP="00992F9B">
      <w:pPr>
        <w:pStyle w:val="a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992F9B" w:rsidRPr="00992F9B">
        <w:rPr>
          <w:sz w:val="26"/>
          <w:szCs w:val="26"/>
        </w:rPr>
        <w:t>бщество обратилось в администрацию города Сургута с заявлением о выдаче разрешения на использование части земельного участка, находящегося в муниципальной собственности, без предоставления земельного участка и установления сервитута, для размещения сооружения связи (антенно-мачтового сооружения (АМС) и оборудования сотовой связи), согласно заявленным координатам характерных точек границ территории и приложенной к заявлению схеме, сроком на 49 лет.</w:t>
      </w:r>
    </w:p>
    <w:p w14:paraId="11A31C74" w14:textId="77777777" w:rsidR="00992F9B" w:rsidRDefault="00992F9B" w:rsidP="00992F9B">
      <w:pPr>
        <w:pStyle w:val="a3"/>
        <w:ind w:firstLine="709"/>
        <w:jc w:val="both"/>
        <w:rPr>
          <w:sz w:val="26"/>
          <w:szCs w:val="26"/>
        </w:rPr>
      </w:pPr>
      <w:r w:rsidRPr="00992F9B">
        <w:rPr>
          <w:sz w:val="26"/>
          <w:szCs w:val="26"/>
        </w:rPr>
        <w:t xml:space="preserve">Заявление подано в соответствии с постановлением Правительства </w:t>
      </w:r>
      <w:r>
        <w:rPr>
          <w:sz w:val="26"/>
          <w:szCs w:val="26"/>
        </w:rPr>
        <w:t>ХМАО</w:t>
      </w:r>
      <w:r w:rsidRPr="00992F9B">
        <w:rPr>
          <w:sz w:val="26"/>
          <w:szCs w:val="26"/>
        </w:rPr>
        <w:t xml:space="preserve"> - Югры от 19.06.2015 № 174-п «О порядке и условиях размещения объектов, виды которых установлены Правительством Российской Федерации и размещение которых может осуществляться на землях или земельных участках, находящихся в государственной или муниципальной собственности,</w:t>
      </w:r>
      <w:r w:rsidRPr="00992F9B">
        <w:t xml:space="preserve"> </w:t>
      </w:r>
      <w:r w:rsidRPr="00992F9B">
        <w:rPr>
          <w:sz w:val="26"/>
          <w:szCs w:val="26"/>
        </w:rPr>
        <w:t xml:space="preserve">без предоставления земельных </w:t>
      </w:r>
      <w:r w:rsidRPr="00992F9B">
        <w:rPr>
          <w:sz w:val="26"/>
          <w:szCs w:val="26"/>
        </w:rPr>
        <w:lastRenderedPageBreak/>
        <w:t xml:space="preserve">участков и установления сервитутов в Ханты-Мансийском автономном округе - </w:t>
      </w:r>
      <w:r>
        <w:rPr>
          <w:sz w:val="26"/>
          <w:szCs w:val="26"/>
        </w:rPr>
        <w:t>Ю</w:t>
      </w:r>
      <w:r w:rsidRPr="00992F9B">
        <w:rPr>
          <w:sz w:val="26"/>
          <w:szCs w:val="26"/>
        </w:rPr>
        <w:t>гре».</w:t>
      </w:r>
    </w:p>
    <w:p w14:paraId="5ECE6ED9" w14:textId="031BBB92" w:rsidR="0058635F" w:rsidRPr="0058635F" w:rsidRDefault="0058635F" w:rsidP="0058635F">
      <w:pPr>
        <w:pStyle w:val="a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Испрашиваемый з</w:t>
      </w:r>
      <w:r w:rsidRPr="0058635F">
        <w:rPr>
          <w:sz w:val="26"/>
          <w:szCs w:val="26"/>
        </w:rPr>
        <w:t xml:space="preserve">емельный участок имеет вид </w:t>
      </w:r>
      <w:r>
        <w:rPr>
          <w:sz w:val="26"/>
          <w:szCs w:val="26"/>
        </w:rPr>
        <w:t>р</w:t>
      </w:r>
      <w:r w:rsidRPr="0058635F">
        <w:rPr>
          <w:sz w:val="26"/>
          <w:szCs w:val="26"/>
        </w:rPr>
        <w:t>азрешенного исполь</w:t>
      </w:r>
      <w:r>
        <w:rPr>
          <w:sz w:val="26"/>
          <w:szCs w:val="26"/>
        </w:rPr>
        <w:t>з</w:t>
      </w:r>
      <w:r w:rsidRPr="0058635F">
        <w:rPr>
          <w:sz w:val="26"/>
          <w:szCs w:val="26"/>
        </w:rPr>
        <w:t>ования - под гостевую автостоянку.</w:t>
      </w:r>
    </w:p>
    <w:p w14:paraId="261CE0BE" w14:textId="77777777" w:rsidR="0058635F" w:rsidRDefault="0058635F" w:rsidP="0058635F">
      <w:pPr>
        <w:pStyle w:val="a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</w:t>
      </w:r>
      <w:r w:rsidRPr="0058635F">
        <w:rPr>
          <w:sz w:val="26"/>
          <w:szCs w:val="26"/>
        </w:rPr>
        <w:t>дминистрация отказала в предоставлении части земельного участка</w:t>
      </w:r>
      <w:r>
        <w:rPr>
          <w:sz w:val="26"/>
          <w:szCs w:val="26"/>
        </w:rPr>
        <w:t>.</w:t>
      </w:r>
    </w:p>
    <w:p w14:paraId="289FE5F1" w14:textId="77777777" w:rsidR="0058635F" w:rsidRDefault="0058635F" w:rsidP="0058635F">
      <w:pPr>
        <w:pStyle w:val="a3"/>
        <w:ind w:firstLine="709"/>
        <w:jc w:val="both"/>
        <w:rPr>
          <w:sz w:val="26"/>
          <w:szCs w:val="26"/>
        </w:rPr>
      </w:pPr>
      <w:r w:rsidRPr="0058635F">
        <w:rPr>
          <w:sz w:val="26"/>
          <w:szCs w:val="26"/>
        </w:rPr>
        <w:t xml:space="preserve">Отказывая в выдаче разрешения, администрация, сославшись на положения пункта 10.6 Порядок и условия размещения объектов, виды которых установлены Правительством Российской Федерации и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в </w:t>
      </w:r>
      <w:r>
        <w:rPr>
          <w:sz w:val="26"/>
          <w:szCs w:val="26"/>
        </w:rPr>
        <w:t>ХМАО</w:t>
      </w:r>
      <w:r w:rsidRPr="0058635F">
        <w:rPr>
          <w:sz w:val="26"/>
          <w:szCs w:val="26"/>
        </w:rPr>
        <w:t xml:space="preserve"> - Югре (далее - Порядок № 174-п), указала</w:t>
      </w:r>
      <w:r>
        <w:rPr>
          <w:sz w:val="26"/>
          <w:szCs w:val="26"/>
        </w:rPr>
        <w:t xml:space="preserve"> </w:t>
      </w:r>
      <w:r w:rsidRPr="0058635F">
        <w:rPr>
          <w:sz w:val="26"/>
          <w:szCs w:val="26"/>
        </w:rPr>
        <w:t xml:space="preserve">на то, </w:t>
      </w:r>
      <w:r>
        <w:rPr>
          <w:sz w:val="26"/>
          <w:szCs w:val="26"/>
        </w:rPr>
        <w:t>ч</w:t>
      </w:r>
      <w:r w:rsidRPr="0058635F">
        <w:rPr>
          <w:sz w:val="26"/>
          <w:szCs w:val="26"/>
        </w:rPr>
        <w:t>то размещение сооружения приведёт к невозможности использования земельного участка в соответствии с установленным видом его разрешённого использования, поскольку его территория окажется в санитарно-защитной зоне и зоне ограничения застройки объекта связи.</w:t>
      </w:r>
    </w:p>
    <w:p w14:paraId="0F065810" w14:textId="1C2AADF7" w:rsidR="00992F9B" w:rsidRDefault="0058635F" w:rsidP="0058635F">
      <w:pPr>
        <w:pStyle w:val="a3"/>
        <w:ind w:firstLine="709"/>
        <w:jc w:val="both"/>
        <w:rPr>
          <w:sz w:val="26"/>
          <w:szCs w:val="26"/>
        </w:rPr>
      </w:pPr>
      <w:r w:rsidRPr="0058635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Общество </w:t>
      </w:r>
      <w:r w:rsidRPr="0058635F">
        <w:rPr>
          <w:sz w:val="26"/>
          <w:szCs w:val="26"/>
        </w:rPr>
        <w:t>настаивая на том, что отказ администрации противоречит действующему законодательству, нарушает его права и законные интересы, обратился в арбитражный суд о признании отказа администрации в выдаче разрешения на размещение объекта</w:t>
      </w:r>
      <w:r>
        <w:rPr>
          <w:sz w:val="26"/>
          <w:szCs w:val="26"/>
        </w:rPr>
        <w:t xml:space="preserve"> </w:t>
      </w:r>
      <w:r w:rsidRPr="0058635F">
        <w:rPr>
          <w:sz w:val="26"/>
          <w:szCs w:val="26"/>
        </w:rPr>
        <w:t>незаконным, обязании администрацию в течение 10 рабочих дней со дня вступления в законную силу решения выдать обществу разрешение на размещение объекта, в случае неисполнения решения суда в указанный срок установить судебную неустойку в размере 1 000 руб. за каждый день просрочки.</w:t>
      </w:r>
    </w:p>
    <w:p w14:paraId="576A1ED8" w14:textId="113BB3FC" w:rsidR="00992F9B" w:rsidRDefault="00FF2E22" w:rsidP="00FF2E22">
      <w:pPr>
        <w:pStyle w:val="a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ходе судебного разбирательства, Арбитражным судом установлено, что антенная опора, </w:t>
      </w:r>
      <w:r w:rsidRPr="00FF2E22">
        <w:rPr>
          <w:sz w:val="26"/>
          <w:szCs w:val="26"/>
        </w:rPr>
        <w:t>для размещения которой испрашивалось разрешение, является сооружением связи.</w:t>
      </w:r>
    </w:p>
    <w:p w14:paraId="0A18BF22" w14:textId="4F84E9B7" w:rsidR="00992F9B" w:rsidRDefault="005A5E3C" w:rsidP="005A5E3C">
      <w:pPr>
        <w:pStyle w:val="a3"/>
        <w:ind w:firstLine="709"/>
        <w:jc w:val="both"/>
        <w:rPr>
          <w:sz w:val="26"/>
          <w:szCs w:val="26"/>
        </w:rPr>
      </w:pPr>
      <w:r w:rsidRPr="005A5E3C">
        <w:rPr>
          <w:sz w:val="26"/>
          <w:szCs w:val="26"/>
        </w:rPr>
        <w:t xml:space="preserve">В соответствии с пунктом 5 части 17 статьи 51 Градостроительного кодекса Российской Федерации (далее - </w:t>
      </w:r>
      <w:proofErr w:type="spellStart"/>
      <w:r w:rsidRPr="005A5E3C">
        <w:rPr>
          <w:sz w:val="26"/>
          <w:szCs w:val="26"/>
        </w:rPr>
        <w:t>ГрК</w:t>
      </w:r>
      <w:proofErr w:type="spellEnd"/>
      <w:r w:rsidRPr="005A5E3C">
        <w:rPr>
          <w:sz w:val="26"/>
          <w:szCs w:val="26"/>
        </w:rPr>
        <w:t xml:space="preserve"> РФ) законодатель наделил субъекты Российской Федерации правом устанавливать случаи, когда выдача разрешения на строительство не требуется. Так, в силу пункта 4.5 части 17 статьи 51 </w:t>
      </w:r>
      <w:proofErr w:type="spellStart"/>
      <w:r w:rsidRPr="005A5E3C">
        <w:rPr>
          <w:sz w:val="26"/>
          <w:szCs w:val="26"/>
        </w:rPr>
        <w:t>ГрК</w:t>
      </w:r>
      <w:proofErr w:type="spellEnd"/>
      <w:r w:rsidRPr="005A5E3C">
        <w:rPr>
          <w:sz w:val="26"/>
          <w:szCs w:val="26"/>
        </w:rPr>
        <w:t xml:space="preserve"> РФ не требуется выдачи разрешения на строительство для размещения антенных опор (мачт и башен) высотой до 50 м, предназначенных для размещения средств связи.</w:t>
      </w:r>
    </w:p>
    <w:p w14:paraId="47D49116" w14:textId="7BA1BB55" w:rsidR="00992F9B" w:rsidRDefault="005A5E3C" w:rsidP="005A5E3C">
      <w:pPr>
        <w:pStyle w:val="a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Pr="005A5E3C">
        <w:rPr>
          <w:sz w:val="26"/>
          <w:szCs w:val="26"/>
        </w:rPr>
        <w:t>ля размещения антенной опоры высотой до 50 метров, предназначенной для размещения средств связи, не требуется выдача разрешения на строительство и ее размещение может быть осуществлено на основании разрешения на использование земельного участка без предоставления и установления сервитута на основании статей 39.33, 39.36 ЗК РФ.</w:t>
      </w:r>
    </w:p>
    <w:p w14:paraId="069CAF3B" w14:textId="399AA1B1" w:rsidR="005A5E3C" w:rsidRDefault="005A5E3C" w:rsidP="005A5E3C">
      <w:pPr>
        <w:pStyle w:val="a3"/>
        <w:ind w:firstLine="709"/>
        <w:jc w:val="both"/>
        <w:rPr>
          <w:sz w:val="26"/>
          <w:szCs w:val="26"/>
        </w:rPr>
      </w:pPr>
      <w:r w:rsidRPr="005A5E3C">
        <w:rPr>
          <w:sz w:val="26"/>
          <w:szCs w:val="26"/>
        </w:rPr>
        <w:t>Пунктом 2 Порядка № 174-п предусмотрено, что размещение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 осуществляется на основании соответствующего разрешения, выданного исполнительным органом государственной власти автономного округа или органом местного самоуправления муниципального образования автономного округа, уполномоченным на предоставление земельных участков, находящихся в государственной или муниципальной собственности.</w:t>
      </w:r>
    </w:p>
    <w:p w14:paraId="161E69A5" w14:textId="611865B5" w:rsidR="005A5E3C" w:rsidRDefault="005A5E3C" w:rsidP="005A5E3C">
      <w:pPr>
        <w:pStyle w:val="a3"/>
        <w:ind w:firstLine="709"/>
        <w:jc w:val="both"/>
        <w:rPr>
          <w:sz w:val="26"/>
          <w:szCs w:val="26"/>
        </w:rPr>
      </w:pPr>
      <w:r w:rsidRPr="005A5E3C">
        <w:rPr>
          <w:sz w:val="26"/>
          <w:szCs w:val="26"/>
        </w:rPr>
        <w:t xml:space="preserve">Для получения разрешения на размещение объектов заинтересованное лицо либо его представитель подает в уполномоченный орган заявление о выдаче разрешения в свободной форме (пункт 3 Порядка № 174-п). Пунктами 5 и 6 Порядка </w:t>
      </w:r>
      <w:r w:rsidRPr="005A5E3C">
        <w:rPr>
          <w:sz w:val="26"/>
          <w:szCs w:val="26"/>
        </w:rPr>
        <w:lastRenderedPageBreak/>
        <w:t>№ 174-п определены содержание указанного заявления и документы, которые прилагаются к заявлению. В частности, в заявлении указывается вид размещаемых объектов в соответствии с Перечнем № 1300 (подпункт 5.5 пункта 5).</w:t>
      </w:r>
    </w:p>
    <w:p w14:paraId="2E48E48B" w14:textId="6D71D422" w:rsidR="005A5E3C" w:rsidRDefault="005A5E3C" w:rsidP="002F557E">
      <w:pPr>
        <w:pStyle w:val="a3"/>
        <w:ind w:firstLine="709"/>
        <w:jc w:val="both"/>
        <w:rPr>
          <w:sz w:val="26"/>
          <w:szCs w:val="26"/>
        </w:rPr>
      </w:pPr>
      <w:r w:rsidRPr="005A5E3C">
        <w:rPr>
          <w:sz w:val="26"/>
          <w:szCs w:val="26"/>
        </w:rPr>
        <w:t>В пункте 10 Порядка № 174-п определены основания для отказа в выдаче разрешения. Перечень оснований для отказа является исчерпывающим</w:t>
      </w:r>
      <w:r>
        <w:rPr>
          <w:sz w:val="26"/>
          <w:szCs w:val="26"/>
        </w:rPr>
        <w:t xml:space="preserve">. </w:t>
      </w:r>
      <w:proofErr w:type="gramStart"/>
      <w:r w:rsidR="002F557E">
        <w:rPr>
          <w:sz w:val="26"/>
          <w:szCs w:val="26"/>
        </w:rPr>
        <w:t xml:space="preserve">Отказ </w:t>
      </w:r>
      <w:r>
        <w:rPr>
          <w:sz w:val="26"/>
          <w:szCs w:val="26"/>
        </w:rPr>
        <w:t xml:space="preserve"> </w:t>
      </w:r>
      <w:r w:rsidR="002F557E">
        <w:rPr>
          <w:sz w:val="26"/>
          <w:szCs w:val="26"/>
        </w:rPr>
        <w:t>ответчика</w:t>
      </w:r>
      <w:proofErr w:type="gramEnd"/>
      <w:r w:rsidR="002F557E">
        <w:rPr>
          <w:sz w:val="26"/>
          <w:szCs w:val="26"/>
        </w:rPr>
        <w:t xml:space="preserve"> со ссылкой на указанный пункт не подтвержден доказательствами о невозможности дальнейшего использования  </w:t>
      </w:r>
      <w:r w:rsidR="002F557E" w:rsidRPr="002F557E">
        <w:rPr>
          <w:sz w:val="26"/>
          <w:szCs w:val="26"/>
        </w:rPr>
        <w:t>земельного участка в соответствии с установленным видом его разрешенного использования</w:t>
      </w:r>
      <w:r w:rsidR="002F557E">
        <w:rPr>
          <w:sz w:val="26"/>
          <w:szCs w:val="26"/>
        </w:rPr>
        <w:t xml:space="preserve">. </w:t>
      </w:r>
    </w:p>
    <w:p w14:paraId="72CD1CCD" w14:textId="4B150BE5" w:rsidR="005A5E3C" w:rsidRPr="005A5E3C" w:rsidRDefault="005A5E3C" w:rsidP="005A5E3C">
      <w:pPr>
        <w:pStyle w:val="a3"/>
        <w:ind w:firstLine="709"/>
        <w:jc w:val="both"/>
        <w:rPr>
          <w:sz w:val="26"/>
          <w:szCs w:val="26"/>
        </w:rPr>
      </w:pPr>
      <w:r w:rsidRPr="005A5E3C">
        <w:rPr>
          <w:sz w:val="26"/>
          <w:szCs w:val="26"/>
        </w:rPr>
        <w:t>Размещение и эксплуатация базовых станций сотовой связи осуществляется в соответствии с Санитарно-эпидемиологическими правилами и нормативами СанПиН 2.1.8/2.2.4.1383-03 «Гигиенические требования к размещению и эксплуатации передающих радиотехнических объектов», утверждённых постановлением Главного государственного санитарного врача РФ от 9 июня 2003 г. № 135 (далее -</w:t>
      </w:r>
      <w:r>
        <w:rPr>
          <w:sz w:val="26"/>
          <w:szCs w:val="26"/>
        </w:rPr>
        <w:t xml:space="preserve"> </w:t>
      </w:r>
      <w:r w:rsidRPr="005A5E3C">
        <w:rPr>
          <w:sz w:val="26"/>
          <w:szCs w:val="26"/>
        </w:rPr>
        <w:t>СанПиН 2.1.8/2.2.4.1383-03).</w:t>
      </w:r>
    </w:p>
    <w:p w14:paraId="07D9C934" w14:textId="153B8770" w:rsidR="005A5E3C" w:rsidRDefault="005A5E3C" w:rsidP="005A5E3C">
      <w:pPr>
        <w:pStyle w:val="a3"/>
        <w:ind w:firstLine="709"/>
        <w:jc w:val="both"/>
        <w:rPr>
          <w:sz w:val="26"/>
          <w:szCs w:val="26"/>
        </w:rPr>
      </w:pPr>
      <w:r w:rsidRPr="005A5E3C">
        <w:rPr>
          <w:sz w:val="26"/>
          <w:szCs w:val="26"/>
        </w:rPr>
        <w:t>Пунктом 1.6 СанПиН 2.1.8/2.2.4.1383-03 установлено, что санитарные правила предназначаются для юридических лиц, индивидуальных предпринимателей и граждан, осуществляющих проектирование, строительство, реконструкцию и эксплуатацию ПРТО, а также для органов и учреждений санитарно-эпидемиологической службы Российской Федерации, осуществляющей государственный надзор.</w:t>
      </w:r>
    </w:p>
    <w:p w14:paraId="39A7AFB1" w14:textId="5A66ABFA" w:rsidR="005A5E3C" w:rsidRDefault="005A5E3C" w:rsidP="005A5E3C">
      <w:pPr>
        <w:pStyle w:val="a3"/>
        <w:ind w:firstLine="709"/>
        <w:jc w:val="both"/>
        <w:rPr>
          <w:sz w:val="26"/>
          <w:szCs w:val="26"/>
        </w:rPr>
      </w:pPr>
      <w:r w:rsidRPr="005A5E3C">
        <w:rPr>
          <w:sz w:val="26"/>
          <w:szCs w:val="26"/>
        </w:rPr>
        <w:t>Санитарно-защитные зоны и зоны ограничений устанавливаются на основании заключений Г</w:t>
      </w:r>
      <w:proofErr w:type="spellStart"/>
      <w:r w:rsidRPr="005A5E3C">
        <w:rPr>
          <w:sz w:val="26"/>
          <w:szCs w:val="26"/>
        </w:rPr>
        <w:t>оссанэпидемнадзора</w:t>
      </w:r>
      <w:proofErr w:type="spellEnd"/>
      <w:r w:rsidRPr="005A5E3C">
        <w:rPr>
          <w:sz w:val="26"/>
          <w:szCs w:val="26"/>
        </w:rPr>
        <w:t xml:space="preserve"> после проведения государственной санитарно</w:t>
      </w:r>
      <w:r>
        <w:rPr>
          <w:sz w:val="26"/>
          <w:szCs w:val="26"/>
        </w:rPr>
        <w:t>-</w:t>
      </w:r>
      <w:r w:rsidRPr="005A5E3C">
        <w:rPr>
          <w:sz w:val="26"/>
          <w:szCs w:val="26"/>
        </w:rPr>
        <w:t>эпидемиологической экспертизы проектной документации и инструментальных измерений вводимого в эксплуатацию ПРТО</w:t>
      </w:r>
      <w:r>
        <w:rPr>
          <w:sz w:val="26"/>
          <w:szCs w:val="26"/>
        </w:rPr>
        <w:t>.</w:t>
      </w:r>
    </w:p>
    <w:p w14:paraId="21931055" w14:textId="32374A7D" w:rsidR="00DE7536" w:rsidRDefault="005A5E3C" w:rsidP="005A5E3C">
      <w:pPr>
        <w:pStyle w:val="a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Pr="005A5E3C">
        <w:rPr>
          <w:sz w:val="26"/>
          <w:szCs w:val="26"/>
        </w:rPr>
        <w:t>оответствие размещаемого ПРТО санитарным нормам проводится только после установки АМС и, следовательно, после получения разрешения на размещение объекта, выдаваемого уполномоченным органом. При этом оценка</w:t>
      </w:r>
      <w:r>
        <w:rPr>
          <w:sz w:val="26"/>
          <w:szCs w:val="26"/>
        </w:rPr>
        <w:t xml:space="preserve"> </w:t>
      </w:r>
      <w:r w:rsidRPr="005A5E3C">
        <w:rPr>
          <w:sz w:val="26"/>
          <w:szCs w:val="26"/>
        </w:rPr>
        <w:t>соответствия проводится только для размещения ПРТО (передающий радиотехнический объект); антенно-мачтовое сооружение (АМС) не является передающим радиотехническим объектом (ПРТО), поскольку представляет из себя металлический столб, который не может негативно влиять на окружающую среду и санитарно</w:t>
      </w:r>
      <w:r>
        <w:rPr>
          <w:sz w:val="26"/>
          <w:szCs w:val="26"/>
        </w:rPr>
        <w:t>-</w:t>
      </w:r>
      <w:r w:rsidRPr="005A5E3C">
        <w:rPr>
          <w:sz w:val="26"/>
          <w:szCs w:val="26"/>
        </w:rPr>
        <w:t>эпидемиологическое благополучие населения. Санитарно-защитные зоны и зоны ограничения для антенных опор (на которых отсутствует ПРТО) не предусмотрены</w:t>
      </w:r>
      <w:r>
        <w:rPr>
          <w:sz w:val="26"/>
          <w:szCs w:val="26"/>
        </w:rPr>
        <w:t xml:space="preserve"> </w:t>
      </w:r>
    </w:p>
    <w:p w14:paraId="0E3161AC" w14:textId="2CD3C0EC" w:rsidR="005A5E3C" w:rsidRDefault="005A5E3C" w:rsidP="005A5E3C">
      <w:pPr>
        <w:pStyle w:val="a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 о</w:t>
      </w:r>
      <w:r w:rsidRPr="005A5E3C">
        <w:rPr>
          <w:sz w:val="26"/>
          <w:szCs w:val="26"/>
        </w:rPr>
        <w:t xml:space="preserve">сновании приведенных норм права суд </w:t>
      </w:r>
      <w:r>
        <w:rPr>
          <w:sz w:val="26"/>
          <w:szCs w:val="26"/>
        </w:rPr>
        <w:t xml:space="preserve">считает, </w:t>
      </w:r>
      <w:r w:rsidRPr="005A5E3C">
        <w:rPr>
          <w:sz w:val="26"/>
          <w:szCs w:val="26"/>
        </w:rPr>
        <w:t>что отказ администрации в выдаче разрешения на антенно-мачтовое сооружение, не основан на нормах закона, а также нарушает права и законные интересы общества</w:t>
      </w:r>
      <w:r>
        <w:rPr>
          <w:sz w:val="26"/>
          <w:szCs w:val="26"/>
        </w:rPr>
        <w:t xml:space="preserve"> </w:t>
      </w:r>
      <w:r w:rsidRPr="005A5E3C">
        <w:rPr>
          <w:sz w:val="26"/>
          <w:szCs w:val="26"/>
        </w:rPr>
        <w:t>в сфере предпринимательской деятельности.</w:t>
      </w:r>
    </w:p>
    <w:p w14:paraId="529CED4F" w14:textId="34AD925E" w:rsidR="005A5E3C" w:rsidRDefault="002F557E" w:rsidP="005A5E3C">
      <w:pPr>
        <w:pStyle w:val="a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Судом было постановлено следующее решение:</w:t>
      </w:r>
    </w:p>
    <w:p w14:paraId="01D4DF9E" w14:textId="5F4D6130" w:rsidR="002F557E" w:rsidRDefault="002F557E" w:rsidP="002F557E">
      <w:pPr>
        <w:pStyle w:val="a3"/>
        <w:numPr>
          <w:ilvl w:val="0"/>
          <w:numId w:val="3"/>
        </w:numPr>
        <w:ind w:left="0" w:firstLine="709"/>
        <w:jc w:val="both"/>
        <w:rPr>
          <w:sz w:val="26"/>
          <w:szCs w:val="26"/>
        </w:rPr>
      </w:pPr>
      <w:r w:rsidRPr="002F557E">
        <w:rPr>
          <w:sz w:val="26"/>
          <w:szCs w:val="26"/>
        </w:rPr>
        <w:t>Отказ Администрации в выдаче разрешения на размещение объекта антенно-мачтовое сооружение связи, признать незаконным.</w:t>
      </w:r>
    </w:p>
    <w:p w14:paraId="642E5019" w14:textId="3696571E" w:rsidR="002F557E" w:rsidRDefault="002F557E" w:rsidP="002F557E">
      <w:pPr>
        <w:pStyle w:val="a3"/>
        <w:numPr>
          <w:ilvl w:val="0"/>
          <w:numId w:val="3"/>
        </w:numPr>
        <w:ind w:left="0" w:firstLine="709"/>
        <w:jc w:val="both"/>
        <w:rPr>
          <w:sz w:val="26"/>
          <w:szCs w:val="26"/>
        </w:rPr>
      </w:pPr>
      <w:r w:rsidRPr="002F557E">
        <w:rPr>
          <w:sz w:val="26"/>
          <w:szCs w:val="26"/>
        </w:rPr>
        <w:t xml:space="preserve">Обязать Администрацию устранить нарушение прав и </w:t>
      </w:r>
      <w:r w:rsidRPr="002F557E">
        <w:rPr>
          <w:sz w:val="26"/>
          <w:szCs w:val="26"/>
        </w:rPr>
        <w:t>з</w:t>
      </w:r>
      <w:r w:rsidRPr="002F557E">
        <w:rPr>
          <w:sz w:val="26"/>
          <w:szCs w:val="26"/>
        </w:rPr>
        <w:t xml:space="preserve">аконных интересов общества путем повторного рассмотрения заявления в течение 10 рабочих дней с даты вступления в законную силу </w:t>
      </w:r>
      <w:proofErr w:type="gramStart"/>
      <w:r w:rsidRPr="002F557E">
        <w:rPr>
          <w:sz w:val="26"/>
          <w:szCs w:val="26"/>
        </w:rPr>
        <w:t>в судебного акта</w:t>
      </w:r>
      <w:proofErr w:type="gramEnd"/>
      <w:r w:rsidRPr="002F557E">
        <w:rPr>
          <w:sz w:val="26"/>
          <w:szCs w:val="26"/>
        </w:rPr>
        <w:t xml:space="preserve"> с учетом выводов настоящего решения.</w:t>
      </w:r>
    </w:p>
    <w:p w14:paraId="5055AA99" w14:textId="40CBAD8A" w:rsidR="002F557E" w:rsidRDefault="002F557E" w:rsidP="002F557E">
      <w:pPr>
        <w:pStyle w:val="a3"/>
        <w:numPr>
          <w:ilvl w:val="0"/>
          <w:numId w:val="3"/>
        </w:numPr>
        <w:ind w:left="0" w:firstLine="709"/>
        <w:jc w:val="both"/>
        <w:rPr>
          <w:sz w:val="26"/>
          <w:szCs w:val="26"/>
        </w:rPr>
      </w:pPr>
      <w:r w:rsidRPr="002F557E">
        <w:rPr>
          <w:sz w:val="26"/>
          <w:szCs w:val="26"/>
        </w:rPr>
        <w:t>В случае неисполнения решения суда взыскать с Администрации в пользу общества судебную неустойку в размере 100 рублей за каждый день, начиная со дня, следующего за днем истечения установленного судом срока, по день повторного рассмотрения заявления общества</w:t>
      </w:r>
      <w:r>
        <w:rPr>
          <w:sz w:val="26"/>
          <w:szCs w:val="26"/>
        </w:rPr>
        <w:t>.</w:t>
      </w:r>
    </w:p>
    <w:p w14:paraId="60CD6E88" w14:textId="45B16C43" w:rsidR="002F557E" w:rsidRPr="002F557E" w:rsidRDefault="002F557E" w:rsidP="002F557E">
      <w:pPr>
        <w:pStyle w:val="a3"/>
        <w:numPr>
          <w:ilvl w:val="0"/>
          <w:numId w:val="3"/>
        </w:numPr>
        <w:ind w:left="0" w:firstLine="709"/>
        <w:jc w:val="both"/>
        <w:rPr>
          <w:sz w:val="26"/>
          <w:szCs w:val="26"/>
        </w:rPr>
      </w:pPr>
      <w:r w:rsidRPr="002F557E">
        <w:rPr>
          <w:sz w:val="26"/>
          <w:szCs w:val="26"/>
        </w:rPr>
        <w:lastRenderedPageBreak/>
        <w:t>Взыскать с Администрации в пользу общества судебные расходы, связанные с уплатой государственной пошлины в размере 50 000 рублей.</w:t>
      </w:r>
    </w:p>
    <w:p w14:paraId="293E4D9D" w14:textId="77777777" w:rsidR="005A5E3C" w:rsidRPr="00CC79C7" w:rsidRDefault="005A5E3C" w:rsidP="005A5E3C">
      <w:pPr>
        <w:pStyle w:val="a3"/>
        <w:ind w:firstLine="709"/>
        <w:jc w:val="both"/>
        <w:rPr>
          <w:sz w:val="26"/>
          <w:szCs w:val="26"/>
        </w:rPr>
      </w:pPr>
    </w:p>
    <w:p w14:paraId="2E2D14F0" w14:textId="0A3EDC6A" w:rsidR="001D0ADB" w:rsidRPr="00600195" w:rsidRDefault="001D0ADB" w:rsidP="0000480B">
      <w:pPr>
        <w:pStyle w:val="a3"/>
        <w:ind w:firstLine="708"/>
        <w:jc w:val="both"/>
        <w:rPr>
          <w:sz w:val="26"/>
          <w:szCs w:val="26"/>
        </w:rPr>
      </w:pPr>
      <w:r w:rsidRPr="00CC79C7">
        <w:rPr>
          <w:sz w:val="26"/>
          <w:szCs w:val="26"/>
        </w:rPr>
        <w:t>Рассмотренн</w:t>
      </w:r>
      <w:r w:rsidR="0000480B" w:rsidRPr="00CC79C7">
        <w:rPr>
          <w:sz w:val="26"/>
          <w:szCs w:val="26"/>
        </w:rPr>
        <w:t>ая</w:t>
      </w:r>
      <w:r w:rsidRPr="00CC79C7">
        <w:rPr>
          <w:sz w:val="26"/>
          <w:szCs w:val="26"/>
        </w:rPr>
        <w:t xml:space="preserve"> в настоящем докладе </w:t>
      </w:r>
      <w:r w:rsidR="0000480B" w:rsidRPr="00CC79C7">
        <w:rPr>
          <w:sz w:val="26"/>
          <w:szCs w:val="26"/>
        </w:rPr>
        <w:t>правоприменительная практика</w:t>
      </w:r>
      <w:r w:rsidRPr="00CC79C7">
        <w:rPr>
          <w:sz w:val="26"/>
          <w:szCs w:val="26"/>
        </w:rPr>
        <w:t xml:space="preserve"> подтверждает необходимость принятия муниципальными органами</w:t>
      </w:r>
      <w:r w:rsidR="0000480B" w:rsidRPr="00CC79C7">
        <w:rPr>
          <w:sz w:val="26"/>
          <w:szCs w:val="26"/>
        </w:rPr>
        <w:t xml:space="preserve"> (должностными лицами)</w:t>
      </w:r>
      <w:r w:rsidRPr="00CC79C7">
        <w:rPr>
          <w:sz w:val="26"/>
          <w:szCs w:val="26"/>
        </w:rPr>
        <w:t xml:space="preserve"> решений </w:t>
      </w:r>
      <w:r w:rsidRPr="00CC79C7">
        <w:rPr>
          <w:rFonts w:eastAsia="Calibri"/>
          <w:sz w:val="26"/>
          <w:szCs w:val="26"/>
        </w:rPr>
        <w:t xml:space="preserve">в соответствии с </w:t>
      </w:r>
      <w:r w:rsidRPr="00CC79C7">
        <w:rPr>
          <w:sz w:val="26"/>
          <w:szCs w:val="26"/>
        </w:rPr>
        <w:t>нормами действующего законодательства</w:t>
      </w:r>
      <w:r w:rsidR="00CC79C7" w:rsidRPr="00CC79C7">
        <w:rPr>
          <w:sz w:val="26"/>
          <w:szCs w:val="26"/>
        </w:rPr>
        <w:t>, а также в установленный законодательством срок</w:t>
      </w:r>
      <w:r w:rsidR="002B7D39" w:rsidRPr="00CC79C7">
        <w:rPr>
          <w:sz w:val="26"/>
          <w:szCs w:val="26"/>
        </w:rPr>
        <w:t>.</w:t>
      </w:r>
    </w:p>
    <w:p w14:paraId="5CCD942D" w14:textId="77777777" w:rsidR="00B96B2C" w:rsidRDefault="00B96B2C" w:rsidP="00293399">
      <w:pPr>
        <w:pStyle w:val="a3"/>
        <w:jc w:val="both"/>
      </w:pPr>
    </w:p>
    <w:sectPr w:rsidR="00B96B2C" w:rsidSect="005145D4">
      <w:headerReference w:type="default" r:id="rId7"/>
      <w:footerReference w:type="default" r:id="rId8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70424" w14:textId="77777777" w:rsidR="00D54097" w:rsidRDefault="00D54097" w:rsidP="005E3A63">
      <w:pPr>
        <w:spacing w:after="0" w:line="240" w:lineRule="auto"/>
      </w:pPr>
      <w:r>
        <w:separator/>
      </w:r>
    </w:p>
  </w:endnote>
  <w:endnote w:type="continuationSeparator" w:id="0">
    <w:p w14:paraId="297B1478" w14:textId="77777777" w:rsidR="00D54097" w:rsidRDefault="00D54097" w:rsidP="005E3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19FA6" w14:textId="2B337D49" w:rsidR="005D325D" w:rsidRDefault="00D54097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89C39" w14:textId="77777777" w:rsidR="00D54097" w:rsidRDefault="00D54097" w:rsidP="005E3A63">
      <w:pPr>
        <w:spacing w:after="0" w:line="240" w:lineRule="auto"/>
      </w:pPr>
      <w:r>
        <w:separator/>
      </w:r>
    </w:p>
  </w:footnote>
  <w:footnote w:type="continuationSeparator" w:id="0">
    <w:p w14:paraId="62D4A1A5" w14:textId="77777777" w:rsidR="00D54097" w:rsidRDefault="00D54097" w:rsidP="005E3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A165E" w14:textId="56F4420C" w:rsidR="005D325D" w:rsidRDefault="00D54097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51DF2"/>
    <w:multiLevelType w:val="multilevel"/>
    <w:tmpl w:val="116CA5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FD02977"/>
    <w:multiLevelType w:val="hybridMultilevel"/>
    <w:tmpl w:val="CAE4191E"/>
    <w:lvl w:ilvl="0" w:tplc="6FE89C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C4F3AA9"/>
    <w:multiLevelType w:val="multilevel"/>
    <w:tmpl w:val="50F419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2C"/>
    <w:rsid w:val="0000480B"/>
    <w:rsid w:val="0003343C"/>
    <w:rsid w:val="0003662D"/>
    <w:rsid w:val="00052A26"/>
    <w:rsid w:val="000619A8"/>
    <w:rsid w:val="000A1E1D"/>
    <w:rsid w:val="000E6D3B"/>
    <w:rsid w:val="000F184E"/>
    <w:rsid w:val="00106C5F"/>
    <w:rsid w:val="00175158"/>
    <w:rsid w:val="001A682E"/>
    <w:rsid w:val="001D0ADB"/>
    <w:rsid w:val="001D1E9F"/>
    <w:rsid w:val="001D761B"/>
    <w:rsid w:val="00221230"/>
    <w:rsid w:val="00226A3F"/>
    <w:rsid w:val="00242CC6"/>
    <w:rsid w:val="00287B9A"/>
    <w:rsid w:val="00291F43"/>
    <w:rsid w:val="00293399"/>
    <w:rsid w:val="002A660B"/>
    <w:rsid w:val="002B7D39"/>
    <w:rsid w:val="002C2D2A"/>
    <w:rsid w:val="002F557E"/>
    <w:rsid w:val="003368A5"/>
    <w:rsid w:val="0034138B"/>
    <w:rsid w:val="003415E9"/>
    <w:rsid w:val="00370B0D"/>
    <w:rsid w:val="00434986"/>
    <w:rsid w:val="00455465"/>
    <w:rsid w:val="005145D4"/>
    <w:rsid w:val="00535BA8"/>
    <w:rsid w:val="00561167"/>
    <w:rsid w:val="0058635F"/>
    <w:rsid w:val="005873BB"/>
    <w:rsid w:val="005A5E3C"/>
    <w:rsid w:val="005B5E0B"/>
    <w:rsid w:val="005C6868"/>
    <w:rsid w:val="005D699C"/>
    <w:rsid w:val="005E1E51"/>
    <w:rsid w:val="005E3A63"/>
    <w:rsid w:val="00600195"/>
    <w:rsid w:val="00600241"/>
    <w:rsid w:val="00603156"/>
    <w:rsid w:val="00613586"/>
    <w:rsid w:val="0062541F"/>
    <w:rsid w:val="00645F28"/>
    <w:rsid w:val="00647245"/>
    <w:rsid w:val="00674E0E"/>
    <w:rsid w:val="006B2C11"/>
    <w:rsid w:val="006B358F"/>
    <w:rsid w:val="006D2EDD"/>
    <w:rsid w:val="00746DEA"/>
    <w:rsid w:val="007B196B"/>
    <w:rsid w:val="007C59F5"/>
    <w:rsid w:val="007C76A6"/>
    <w:rsid w:val="007D77A7"/>
    <w:rsid w:val="0081006E"/>
    <w:rsid w:val="0081390E"/>
    <w:rsid w:val="008A1F57"/>
    <w:rsid w:val="008E206A"/>
    <w:rsid w:val="00944167"/>
    <w:rsid w:val="00946C86"/>
    <w:rsid w:val="00972616"/>
    <w:rsid w:val="00992F9B"/>
    <w:rsid w:val="009C15DD"/>
    <w:rsid w:val="009C2B06"/>
    <w:rsid w:val="00A005F9"/>
    <w:rsid w:val="00A51326"/>
    <w:rsid w:val="00A8559A"/>
    <w:rsid w:val="00A925EF"/>
    <w:rsid w:val="00AF78F8"/>
    <w:rsid w:val="00B9315A"/>
    <w:rsid w:val="00B95642"/>
    <w:rsid w:val="00B96B2C"/>
    <w:rsid w:val="00BC6CDB"/>
    <w:rsid w:val="00C26D47"/>
    <w:rsid w:val="00C35FCD"/>
    <w:rsid w:val="00C65BF2"/>
    <w:rsid w:val="00CA556A"/>
    <w:rsid w:val="00CB752C"/>
    <w:rsid w:val="00CC79C7"/>
    <w:rsid w:val="00CF3506"/>
    <w:rsid w:val="00D528B5"/>
    <w:rsid w:val="00D54097"/>
    <w:rsid w:val="00D62768"/>
    <w:rsid w:val="00D716B5"/>
    <w:rsid w:val="00DE7536"/>
    <w:rsid w:val="00E36C8B"/>
    <w:rsid w:val="00E37765"/>
    <w:rsid w:val="00E4699F"/>
    <w:rsid w:val="00EC3C61"/>
    <w:rsid w:val="00EC7BE7"/>
    <w:rsid w:val="00ED0582"/>
    <w:rsid w:val="00F26CE2"/>
    <w:rsid w:val="00F3614B"/>
    <w:rsid w:val="00F43F4C"/>
    <w:rsid w:val="00FA1A5A"/>
    <w:rsid w:val="00FA2586"/>
    <w:rsid w:val="00FB2F54"/>
    <w:rsid w:val="00FE4F95"/>
    <w:rsid w:val="00FF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602F70"/>
  <w15:chartTrackingRefBased/>
  <w15:docId w15:val="{7CEF5634-596E-4193-9A57-B821B35C2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55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pt">
    <w:name w:val="Основной текст (4) + Интервал 1 pt"/>
    <w:basedOn w:val="a0"/>
    <w:rsid w:val="00A8559A"/>
    <w:rPr>
      <w:rFonts w:ascii="Times New Roman" w:eastAsia="Times New Roman" w:hAnsi="Times New Roman" w:cs="Times New Roman"/>
      <w:b/>
      <w:bCs/>
      <w:color w:val="000000"/>
      <w:spacing w:val="3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">
    <w:name w:val="Колонтитул (2)_"/>
    <w:basedOn w:val="a0"/>
    <w:link w:val="20"/>
    <w:rsid w:val="005E3A6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4">
    <w:name w:val="Основной текст_"/>
    <w:basedOn w:val="a0"/>
    <w:link w:val="1"/>
    <w:rsid w:val="005E3A6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">
    <w:name w:val="Заголовок №1_"/>
    <w:basedOn w:val="a0"/>
    <w:link w:val="11"/>
    <w:rsid w:val="005E3A6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5E3A6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5E3A6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20">
    <w:name w:val="Колонтитул (2)"/>
    <w:basedOn w:val="a"/>
    <w:link w:val="2"/>
    <w:rsid w:val="005E3A63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4"/>
    <w:rsid w:val="005E3A63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rsid w:val="005E3A63"/>
    <w:pPr>
      <w:widowControl w:val="0"/>
      <w:shd w:val="clear" w:color="auto" w:fill="FFFFFF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5E3A63"/>
    <w:pPr>
      <w:widowControl w:val="0"/>
      <w:shd w:val="clear" w:color="auto" w:fill="FFFFFF"/>
      <w:spacing w:after="0" w:line="240" w:lineRule="auto"/>
      <w:ind w:left="160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2">
    <w:name w:val="Основной текст (2)"/>
    <w:basedOn w:val="a"/>
    <w:link w:val="21"/>
    <w:rsid w:val="005E3A63"/>
    <w:pPr>
      <w:widowControl w:val="0"/>
      <w:shd w:val="clear" w:color="auto" w:fill="FFFFFF"/>
      <w:spacing w:after="0" w:line="240" w:lineRule="auto"/>
      <w:ind w:left="1600"/>
    </w:pPr>
    <w:rPr>
      <w:rFonts w:ascii="Times New Roman" w:eastAsia="Times New Roman" w:hAnsi="Times New Roman" w:cs="Times New Roman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E3A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3A63"/>
  </w:style>
  <w:style w:type="paragraph" w:styleId="a7">
    <w:name w:val="footer"/>
    <w:basedOn w:val="a"/>
    <w:link w:val="a8"/>
    <w:uiPriority w:val="99"/>
    <w:unhideWhenUsed/>
    <w:rsid w:val="005E3A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E3A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1472</Words>
  <Characters>8392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Вильданова Марина Сергеевна</dc:creator>
  <cp:keywords/>
  <dc:description/>
  <cp:lastModifiedBy>Семенов Дмитрий Евгеньевич</cp:lastModifiedBy>
  <cp:revision>2</cp:revision>
  <dcterms:created xsi:type="dcterms:W3CDTF">2025-05-07T10:13:00Z</dcterms:created>
  <dcterms:modified xsi:type="dcterms:W3CDTF">2025-05-07T10:13:00Z</dcterms:modified>
</cp:coreProperties>
</file>